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FF0" w:rsidRDefault="00F42FF0">
      <w:bookmarkStart w:id="0" w:name="_GoBack"/>
      <w:bookmarkEnd w:id="0"/>
    </w:p>
    <w:p w:rsidR="00C03AC4" w:rsidRPr="00022033" w:rsidRDefault="00C03AC4" w:rsidP="00C03AC4">
      <w:pPr>
        <w:framePr w:hSpace="180" w:wrap="around" w:vAnchor="text" w:hAnchor="text" w:y="1"/>
        <w:spacing w:after="120"/>
        <w:ind w:left="284" w:right="689"/>
        <w:suppressOverlap/>
        <w:rPr>
          <w:rFonts w:ascii="Calibri" w:hAnsi="Calibri" w:cs="Calibri"/>
        </w:rPr>
      </w:pPr>
      <w:r w:rsidRPr="00C03AC4">
        <w:rPr>
          <w:rFonts w:ascii="Calibri" w:hAnsi="Calibri" w:cs="Calibri"/>
          <w:b/>
          <w:bCs/>
          <w:color w:val="E1B723"/>
          <w:spacing w:val="20"/>
          <w:sz w:val="22"/>
          <w:szCs w:val="22"/>
          <w:lang w:val="en-US"/>
        </w:rPr>
        <w:t>TOURX</w:t>
      </w:r>
      <w:r w:rsidRPr="00022033">
        <w:rPr>
          <w:rFonts w:ascii="Calibri" w:hAnsi="Calibri" w:cs="Calibri"/>
          <w:b/>
          <w:bCs/>
          <w:color w:val="E1B723"/>
          <w:spacing w:val="20"/>
          <w:sz w:val="22"/>
          <w:szCs w:val="22"/>
        </w:rPr>
        <w:t>-</w:t>
      </w:r>
      <w:r w:rsidRPr="00C03AC4">
        <w:rPr>
          <w:rFonts w:ascii="Calibri" w:hAnsi="Calibri" w:cs="Calibri"/>
          <w:b/>
          <w:bCs/>
          <w:color w:val="E1B723"/>
          <w:spacing w:val="20"/>
          <w:sz w:val="22"/>
          <w:szCs w:val="22"/>
          <w:lang w:val="en-US"/>
        </w:rPr>
        <w:t>PROJEKT</w:t>
      </w:r>
      <w:r w:rsidRPr="00022033">
        <w:rPr>
          <w:rFonts w:ascii="Calibri" w:hAnsi="Calibri" w:cs="Calibri"/>
          <w:b/>
          <w:bCs/>
          <w:color w:val="E1B723"/>
          <w:spacing w:val="20"/>
          <w:sz w:val="22"/>
          <w:szCs w:val="22"/>
        </w:rPr>
        <w:t xml:space="preserve"> – </w:t>
      </w:r>
      <w:r w:rsidRPr="00C03AC4">
        <w:rPr>
          <w:rFonts w:ascii="Calibri" w:hAnsi="Calibri" w:cs="Calibri"/>
          <w:b/>
          <w:bCs/>
          <w:color w:val="E1B723"/>
          <w:spacing w:val="20"/>
          <w:sz w:val="22"/>
          <w:szCs w:val="22"/>
          <w:lang w:val="en-US"/>
        </w:rPr>
        <w:t>GOVERNANCE</w:t>
      </w:r>
      <w:r w:rsidRPr="00022033">
        <w:rPr>
          <w:rFonts w:ascii="Calibri" w:hAnsi="Calibri" w:cs="Calibri"/>
          <w:b/>
          <w:bCs/>
          <w:color w:val="E1B723"/>
          <w:spacing w:val="20"/>
          <w:sz w:val="22"/>
          <w:szCs w:val="22"/>
        </w:rPr>
        <w:t>-</w:t>
      </w:r>
      <w:r w:rsidRPr="00C03AC4">
        <w:rPr>
          <w:rFonts w:ascii="Calibri" w:hAnsi="Calibri" w:cs="Calibri"/>
          <w:b/>
          <w:bCs/>
          <w:color w:val="E1B723"/>
          <w:spacing w:val="20"/>
          <w:sz w:val="22"/>
          <w:szCs w:val="22"/>
          <w:lang w:val="en-US"/>
        </w:rPr>
        <w:t>TOOLBOX</w:t>
      </w:r>
    </w:p>
    <w:p w:rsidR="00C03AC4" w:rsidRPr="00022033" w:rsidRDefault="00C03AC4" w:rsidP="00C03AC4">
      <w:pPr>
        <w:framePr w:hSpace="180" w:wrap="around" w:vAnchor="text" w:hAnchor="text" w:y="1"/>
        <w:spacing w:after="200"/>
        <w:ind w:left="284" w:right="689"/>
        <w:suppressOverlap/>
        <w:jc w:val="center"/>
        <w:rPr>
          <w:rFonts w:ascii="Calibri" w:hAnsi="Calibri" w:cs="Calibri"/>
          <w:color w:val="0FAFD5"/>
        </w:rPr>
      </w:pPr>
      <w:r w:rsidRPr="00C03AC4">
        <w:rPr>
          <w:rFonts w:ascii="Calibri" w:hAnsi="Calibri" w:cs="Calibri"/>
          <w:b/>
          <w:bCs/>
          <w:color w:val="0FAFD5"/>
          <w:sz w:val="44"/>
          <w:szCs w:val="44"/>
          <w:lang w:val="en-US"/>
        </w:rPr>
        <w:t>CoVE</w:t>
      </w:r>
      <w:r w:rsidRPr="00022033">
        <w:rPr>
          <w:rFonts w:ascii="Calibri" w:hAnsi="Calibri" w:cs="Calibri"/>
          <w:b/>
          <w:bCs/>
          <w:color w:val="0FAFD5"/>
          <w:sz w:val="44"/>
          <w:szCs w:val="44"/>
        </w:rPr>
        <w:t>-</w:t>
      </w:r>
      <w:r w:rsidRPr="00C03AC4">
        <w:rPr>
          <w:rFonts w:ascii="Calibri" w:hAnsi="Calibri" w:cs="Calibri"/>
          <w:b/>
          <w:bCs/>
          <w:color w:val="0FAFD5"/>
          <w:sz w:val="44"/>
          <w:szCs w:val="44"/>
          <w:lang w:val="en-US"/>
        </w:rPr>
        <w:t>Entscheidungsfindungsverfahrensvorlage</w:t>
      </w:r>
    </w:p>
    <w:p w:rsidR="00C03AC4" w:rsidRPr="00022033" w:rsidRDefault="00C03AC4" w:rsidP="00C03AC4">
      <w:pPr>
        <w:tabs>
          <w:tab w:val="left" w:pos="1140"/>
        </w:tabs>
        <w:ind w:left="284" w:right="689"/>
        <w:rPr>
          <w:rFonts w:ascii="Calibri" w:hAnsi="Calibri" w:cs="Calibri"/>
          <w:i/>
          <w:iCs/>
          <w:color w:val="000000" w:themeColor="text1"/>
          <w:sz w:val="22"/>
          <w:szCs w:val="22"/>
        </w:rPr>
      </w:pPr>
    </w:p>
    <w:p w:rsidR="00C03AC4" w:rsidRPr="00022033" w:rsidRDefault="00C03AC4" w:rsidP="00C03AC4">
      <w:pPr>
        <w:pBdr>
          <w:top w:val="single" w:sz="4" w:space="1" w:color="auto"/>
          <w:left w:val="single" w:sz="4" w:space="4" w:color="auto"/>
          <w:bottom w:val="single" w:sz="4" w:space="1" w:color="auto"/>
          <w:right w:val="single" w:sz="4" w:space="4" w:color="auto"/>
        </w:pBdr>
        <w:shd w:val="clear" w:color="auto" w:fill="DAE9F7" w:themeFill="text2" w:themeFillTint="1A"/>
        <w:tabs>
          <w:tab w:val="left" w:pos="1140"/>
        </w:tabs>
        <w:ind w:left="284" w:right="689"/>
        <w:rPr>
          <w:rFonts w:ascii="Calibri" w:hAnsi="Calibri" w:cs="Calibri"/>
          <w:color w:val="000000" w:themeColor="text1"/>
        </w:rPr>
      </w:pPr>
      <w:r w:rsidRPr="00C03AC4">
        <w:rPr>
          <w:rFonts w:ascii="Calibri" w:hAnsi="Calibri" w:cs="Calibri"/>
          <w:color w:val="000000" w:themeColor="text1"/>
          <w:sz w:val="22"/>
          <w:szCs w:val="22"/>
          <w:lang w:val="en-US"/>
        </w:rPr>
        <w:t>Ein</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sofort</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anpassbares</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Verfahren</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f</w:t>
      </w:r>
      <w:r w:rsidRPr="00022033">
        <w:rPr>
          <w:rFonts w:ascii="Calibri" w:hAnsi="Calibri" w:cs="Calibri"/>
          <w:color w:val="000000" w:themeColor="text1"/>
          <w:sz w:val="22"/>
          <w:szCs w:val="22"/>
        </w:rPr>
        <w:t>ü</w:t>
      </w:r>
      <w:r w:rsidRPr="00C03AC4">
        <w:rPr>
          <w:rFonts w:ascii="Calibri" w:hAnsi="Calibri" w:cs="Calibri"/>
          <w:color w:val="000000" w:themeColor="text1"/>
          <w:sz w:val="22"/>
          <w:szCs w:val="22"/>
          <w:lang w:val="en-US"/>
        </w:rPr>
        <w:t>r</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externe</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Zentren</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f</w:t>
      </w:r>
      <w:r w:rsidRPr="00022033">
        <w:rPr>
          <w:rFonts w:ascii="Calibri" w:hAnsi="Calibri" w:cs="Calibri"/>
          <w:color w:val="000000" w:themeColor="text1"/>
          <w:sz w:val="22"/>
          <w:szCs w:val="22"/>
        </w:rPr>
        <w:t>ü</w:t>
      </w:r>
      <w:r w:rsidRPr="00C03AC4">
        <w:rPr>
          <w:rFonts w:ascii="Calibri" w:hAnsi="Calibri" w:cs="Calibri"/>
          <w:color w:val="000000" w:themeColor="text1"/>
          <w:sz w:val="22"/>
          <w:szCs w:val="22"/>
          <w:lang w:val="en-US"/>
        </w:rPr>
        <w:t>r</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berufliche</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Exzellenz</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CoVEs</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um</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die</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Art</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und</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Weise</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der</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Entscheidungsfindung</w:t>
      </w:r>
      <w:r w:rsidRPr="00022033">
        <w:rPr>
          <w:rFonts w:ascii="Calibri" w:hAnsi="Calibri" w:cs="Calibri"/>
          <w:color w:val="000000" w:themeColor="text1"/>
          <w:sz w:val="22"/>
          <w:szCs w:val="22"/>
        </w:rPr>
        <w:t>, -</w:t>
      </w:r>
      <w:r w:rsidRPr="00C03AC4">
        <w:rPr>
          <w:rFonts w:ascii="Calibri" w:hAnsi="Calibri" w:cs="Calibri"/>
          <w:color w:val="000000" w:themeColor="text1"/>
          <w:sz w:val="22"/>
          <w:szCs w:val="22"/>
          <w:lang w:val="en-US"/>
        </w:rPr>
        <w:t>genehmigung</w:t>
      </w:r>
      <w:r w:rsidRPr="00022033">
        <w:rPr>
          <w:rFonts w:ascii="Calibri" w:hAnsi="Calibri" w:cs="Calibri"/>
          <w:color w:val="000000" w:themeColor="text1"/>
          <w:sz w:val="22"/>
          <w:szCs w:val="22"/>
        </w:rPr>
        <w:t>, -</w:t>
      </w:r>
      <w:r w:rsidRPr="00C03AC4">
        <w:rPr>
          <w:rFonts w:ascii="Calibri" w:hAnsi="Calibri" w:cs="Calibri"/>
          <w:color w:val="000000" w:themeColor="text1"/>
          <w:sz w:val="22"/>
          <w:szCs w:val="22"/>
          <w:lang w:val="en-US"/>
        </w:rPr>
        <w:t>kommunikation</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und</w:t>
      </w:r>
      <w:r w:rsidRPr="00022033">
        <w:rPr>
          <w:rFonts w:ascii="Calibri" w:hAnsi="Calibri" w:cs="Calibri"/>
          <w:color w:val="000000" w:themeColor="text1"/>
          <w:sz w:val="22"/>
          <w:szCs w:val="22"/>
        </w:rPr>
        <w:t xml:space="preserve"> -ü</w:t>
      </w:r>
      <w:r w:rsidRPr="00C03AC4">
        <w:rPr>
          <w:rFonts w:ascii="Calibri" w:hAnsi="Calibri" w:cs="Calibri"/>
          <w:color w:val="000000" w:themeColor="text1"/>
          <w:sz w:val="22"/>
          <w:szCs w:val="22"/>
          <w:lang w:val="en-US"/>
        </w:rPr>
        <w:t>berpr</w:t>
      </w:r>
      <w:r w:rsidRPr="00022033">
        <w:rPr>
          <w:rFonts w:ascii="Calibri" w:hAnsi="Calibri" w:cs="Calibri"/>
          <w:color w:val="000000" w:themeColor="text1"/>
          <w:sz w:val="22"/>
          <w:szCs w:val="22"/>
        </w:rPr>
        <w:t>ü</w:t>
      </w:r>
      <w:r w:rsidRPr="00C03AC4">
        <w:rPr>
          <w:rFonts w:ascii="Calibri" w:hAnsi="Calibri" w:cs="Calibri"/>
          <w:color w:val="000000" w:themeColor="text1"/>
          <w:sz w:val="22"/>
          <w:szCs w:val="22"/>
          <w:lang w:val="en-US"/>
        </w:rPr>
        <w:t>fung</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zu</w:t>
      </w:r>
      <w:r w:rsidRPr="00022033">
        <w:rPr>
          <w:rFonts w:ascii="Calibri" w:hAnsi="Calibri" w:cs="Calibri"/>
          <w:color w:val="000000" w:themeColor="text1"/>
          <w:sz w:val="22"/>
          <w:szCs w:val="22"/>
        </w:rPr>
        <w:t xml:space="preserve"> </w:t>
      </w:r>
      <w:r w:rsidRPr="00C03AC4">
        <w:rPr>
          <w:rFonts w:ascii="Calibri" w:hAnsi="Calibri" w:cs="Calibri"/>
          <w:color w:val="000000" w:themeColor="text1"/>
          <w:sz w:val="22"/>
          <w:szCs w:val="22"/>
          <w:lang w:val="en-US"/>
        </w:rPr>
        <w:t>formalisieren</w:t>
      </w:r>
      <w:r w:rsidRPr="00022033">
        <w:rPr>
          <w:rFonts w:ascii="Calibri" w:hAnsi="Calibri" w:cs="Calibri"/>
          <w:color w:val="000000" w:themeColor="text1"/>
          <w:sz w:val="22"/>
          <w:szCs w:val="22"/>
        </w:rPr>
        <w:t>.</w:t>
      </w:r>
    </w:p>
    <w:p w:rsidR="00C03AC4" w:rsidRPr="00022033" w:rsidRDefault="00C03AC4" w:rsidP="00C03AC4">
      <w:pPr>
        <w:tabs>
          <w:tab w:val="left" w:pos="1140"/>
        </w:tabs>
        <w:rPr>
          <w:rFonts w:ascii="Calibri" w:hAnsi="Calibri" w:cs="Calibri"/>
        </w:rPr>
      </w:pPr>
    </w:p>
    <w:p w:rsidR="00C03AC4" w:rsidRPr="00022033" w:rsidRDefault="00C03AC4" w:rsidP="00C03AC4">
      <w:pPr>
        <w:tabs>
          <w:tab w:val="left" w:pos="1140"/>
        </w:tabs>
        <w:rPr>
          <w:rFonts w:ascii="Calibri" w:hAnsi="Calibri" w:cs="Calibri"/>
        </w:rPr>
      </w:pPr>
    </w:p>
    <w:p w:rsidR="00C03AC4" w:rsidRPr="0043714E" w:rsidRDefault="00C03AC4" w:rsidP="00C03AC4">
      <w:pPr>
        <w:pStyle w:val="Heading2"/>
        <w:keepNext/>
        <w:spacing w:before="240" w:after="120"/>
        <w:ind w:left="284" w:right="544"/>
        <w:rPr>
          <w:rFonts w:ascii="Calibri" w:hAnsi="Calibri" w:cs="Calibri"/>
          <w:color w:val="0FAFD5"/>
          <w:sz w:val="28"/>
          <w:szCs w:val="28"/>
          <w:lang w:val="en-US"/>
        </w:rPr>
      </w:pPr>
      <w:r w:rsidRPr="0043714E">
        <w:rPr>
          <w:rFonts w:ascii="Calibri" w:hAnsi="Calibri" w:cs="Calibri"/>
          <w:b/>
          <w:bCs/>
          <w:color w:val="0FAFD5"/>
          <w:sz w:val="28"/>
          <w:szCs w:val="28"/>
          <w:lang w:val="en-US"/>
        </w:rPr>
        <w:t>So verwenden Sie diese Vorlage</w:t>
      </w:r>
    </w:p>
    <w:p w:rsidR="00C03AC4" w:rsidRPr="00C03AC4" w:rsidRDefault="00C03AC4" w:rsidP="00C03AC4">
      <w:pPr>
        <w:pStyle w:val="ListParagraph"/>
        <w:numPr>
          <w:ilvl w:val="0"/>
          <w:numId w:val="2"/>
        </w:numPr>
        <w:pBdr>
          <w:between w:val="single" w:sz="4" w:space="1" w:color="auto"/>
        </w:pBdr>
        <w:spacing w:after="90" w:line="280" w:lineRule="auto"/>
        <w:ind w:left="284" w:right="544"/>
        <w:rPr>
          <w:rFonts w:ascii="Calibri" w:hAnsi="Calibri" w:cs="Calibri"/>
          <w:b/>
          <w:bCs/>
          <w:color w:val="0E2841" w:themeColor="text2"/>
          <w:lang w:val="en-US"/>
        </w:rPr>
      </w:pPr>
      <w:r w:rsidRPr="00C03AC4">
        <w:rPr>
          <w:rFonts w:ascii="Calibri" w:hAnsi="Calibri" w:cs="Calibri"/>
          <w:b/>
          <w:bCs/>
          <w:color w:val="0E2841" w:themeColor="text2"/>
          <w:lang w:val="en-US"/>
        </w:rPr>
        <w:t>Arbeiten Sie die sechs Abschnitte der Reihe nach durch – jeder baut auf dem vorhergehenden auf (Prinzipien → Kategorien → Prozess → Körper → Kommunikation → Überprüfung).</w:t>
      </w:r>
    </w:p>
    <w:p w:rsidR="00C03AC4" w:rsidRPr="00C03AC4" w:rsidRDefault="00C03AC4" w:rsidP="00C03AC4">
      <w:pPr>
        <w:pStyle w:val="ListParagraph"/>
        <w:numPr>
          <w:ilvl w:val="0"/>
          <w:numId w:val="2"/>
        </w:numPr>
        <w:pBdr>
          <w:between w:val="single" w:sz="4" w:space="1" w:color="auto"/>
        </w:pBdr>
        <w:spacing w:after="90" w:line="280" w:lineRule="auto"/>
        <w:ind w:left="284" w:right="544"/>
        <w:rPr>
          <w:rFonts w:ascii="Calibri" w:hAnsi="Calibri" w:cs="Calibri"/>
          <w:b/>
          <w:bCs/>
          <w:color w:val="0E2841" w:themeColor="text2"/>
          <w:lang w:val="en-US"/>
        </w:rPr>
      </w:pPr>
      <w:r w:rsidRPr="00C03AC4">
        <w:rPr>
          <w:rFonts w:ascii="Calibri" w:hAnsi="Calibri" w:cs="Calibri"/>
          <w:b/>
          <w:bCs/>
          <w:color w:val="0E2841" w:themeColor="text2"/>
          <w:lang w:val="en-US"/>
        </w:rPr>
        <w:t>Passen Sie die Entscheidungskategorien und zuständigen Stellen gemäß dem obigen Anhang an die tatsächliche Governance-Struktur Ihres CoVE an; die angegebenen Beispiele sind ein realistischer Ausgangspunkt, keine feste Vorgabe.</w:t>
      </w:r>
    </w:p>
    <w:p w:rsidR="00C03AC4" w:rsidRPr="00C03AC4" w:rsidRDefault="00C03AC4" w:rsidP="00C03AC4">
      <w:pPr>
        <w:pStyle w:val="ListParagraph"/>
        <w:numPr>
          <w:ilvl w:val="0"/>
          <w:numId w:val="2"/>
        </w:numPr>
        <w:pBdr>
          <w:between w:val="single" w:sz="4" w:space="1" w:color="auto"/>
        </w:pBdr>
        <w:spacing w:after="90" w:line="280" w:lineRule="auto"/>
        <w:ind w:left="284" w:right="544"/>
        <w:rPr>
          <w:rFonts w:ascii="Calibri" w:hAnsi="Calibri" w:cs="Calibri"/>
          <w:b/>
          <w:bCs/>
          <w:color w:val="0E2841" w:themeColor="text2"/>
          <w:lang w:val="en-US"/>
        </w:rPr>
      </w:pPr>
      <w:r w:rsidRPr="00C03AC4">
        <w:rPr>
          <w:rFonts w:ascii="Calibri" w:hAnsi="Calibri" w:cs="Calibri"/>
          <w:b/>
          <w:bCs/>
          <w:color w:val="0E2841" w:themeColor="text2"/>
          <w:lang w:val="en-US"/>
        </w:rPr>
        <w:t>Nach Abschluss des Verfahrens lassen Sie es formell von der Leitung Ihres CoVE genehmigen und vermerken Sie die Genehmigung auf dem Deckblatt.</w:t>
      </w:r>
    </w:p>
    <w:p w:rsidR="00C03AC4" w:rsidRPr="00C03AC4" w:rsidRDefault="00C03AC4" w:rsidP="00C03AC4">
      <w:pPr>
        <w:pStyle w:val="ListParagraph"/>
        <w:numPr>
          <w:ilvl w:val="0"/>
          <w:numId w:val="2"/>
        </w:numPr>
        <w:pBdr>
          <w:between w:val="single" w:sz="4" w:space="1" w:color="auto"/>
        </w:pBdr>
        <w:spacing w:after="90" w:line="280" w:lineRule="auto"/>
        <w:ind w:left="284" w:right="544"/>
        <w:rPr>
          <w:rFonts w:ascii="Calibri" w:hAnsi="Calibri" w:cs="Calibri"/>
          <w:b/>
          <w:bCs/>
          <w:color w:val="0E2841" w:themeColor="text2"/>
          <w:lang w:val="en-US"/>
        </w:rPr>
      </w:pPr>
      <w:r w:rsidRPr="00C03AC4">
        <w:rPr>
          <w:rFonts w:ascii="Calibri" w:hAnsi="Calibri" w:cs="Calibri"/>
          <w:b/>
          <w:bCs/>
          <w:color w:val="0E2841" w:themeColor="text2"/>
          <w:lang w:val="en-US"/>
        </w:rPr>
        <w:t>Die genehmigte Version ist zentral zu speichern und in den in Abschnitt 6 (Überprüfungsprozess) festgelegten Abständen erneut zu prüfen.</w:t>
      </w:r>
    </w:p>
    <w:p w:rsidR="00C03AC4" w:rsidRPr="00C03AC4" w:rsidRDefault="00C03AC4" w:rsidP="00C03AC4">
      <w:pPr>
        <w:tabs>
          <w:tab w:val="left" w:pos="1140"/>
        </w:tabs>
        <w:rPr>
          <w:rFonts w:ascii="Calibri" w:hAnsi="Calibri" w:cs="Calibri"/>
          <w:lang w:val="en-US"/>
        </w:rPr>
        <w:sectPr w:rsidR="00C03AC4" w:rsidRPr="00C03AC4">
          <w:headerReference w:type="even" r:id="rId7"/>
          <w:headerReference w:type="default" r:id="rId8"/>
          <w:footerReference w:type="even" r:id="rId9"/>
          <w:footerReference w:type="default" r:id="rId10"/>
          <w:headerReference w:type="first" r:id="rId11"/>
          <w:footerReference w:type="first" r:id="rId12"/>
          <w:pgSz w:w="11907" w:h="16840"/>
          <w:pgMar w:top="720" w:right="720" w:bottom="720" w:left="720" w:header="708" w:footer="708" w:gutter="0"/>
          <w:cols w:space="720"/>
          <w:docGrid w:linePitch="360"/>
        </w:sectPr>
      </w:pPr>
    </w:p>
    <w:p w:rsidR="00D95924" w:rsidRPr="00C03AC4" w:rsidRDefault="009E2C4A" w:rsidP="00C03AC4">
      <w:pPr>
        <w:rPr>
          <w:rFonts w:ascii="Calibri" w:hAnsi="Calibri" w:cs="Calibri"/>
          <w:color w:val="0FAFD5"/>
          <w:lang w:val="en-US"/>
        </w:rPr>
      </w:pPr>
      <w:r w:rsidRPr="00C03AC4">
        <w:rPr>
          <w:rFonts w:ascii="Calibri" w:hAnsi="Calibri" w:cs="Calibri"/>
          <w:b/>
          <w:bCs/>
          <w:color w:val="0FAFD5"/>
          <w:sz w:val="30"/>
          <w:szCs w:val="30"/>
          <w:lang w:val="en-US"/>
        </w:rPr>
        <w:lastRenderedPageBreak/>
        <w:t>1. Entscheidungsprinzipien</w:t>
      </w:r>
    </w:p>
    <w:p w:rsidR="00D95924" w:rsidRPr="00C03AC4" w:rsidRDefault="009E2C4A">
      <w:pPr>
        <w:spacing w:after="200" w:line="300" w:lineRule="auto"/>
        <w:rPr>
          <w:rFonts w:ascii="Calibri" w:hAnsi="Calibri" w:cs="Calibri"/>
          <w:color w:val="0E2841" w:themeColor="text2"/>
          <w:lang w:val="en-US"/>
        </w:rPr>
      </w:pPr>
      <w:r w:rsidRPr="00C03AC4">
        <w:rPr>
          <w:rFonts w:ascii="Calibri" w:hAnsi="Calibri" w:cs="Calibri"/>
          <w:i/>
          <w:iCs/>
          <w:color w:val="0E2841" w:themeColor="text2"/>
          <w:lang w:val="en-US"/>
        </w:rPr>
        <w:t>Die nachstehenden Grundsätze sollten jede Entscheidung innerhalb des CoVE leiten, unabhängig von Kategorie oder Größe.</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 xml:space="preserve">Transparenz – Entscheidungen und die ihnen </w:t>
      </w:r>
      <w:r w:rsidRPr="00C03AC4">
        <w:rPr>
          <w:rFonts w:ascii="Calibri" w:hAnsi="Calibri" w:cs="Calibri"/>
          <w:color w:val="000000" w:themeColor="text1"/>
          <w:lang w:val="en-US"/>
        </w:rPr>
        <w:t>zugrunde liegenden Gründe werden dokumentiert und sind für alle relevanten Partner zugänglich.</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Subsidiarität – Entscheidungen werden auf der niedrigsten Ebene getroffen, auf der sie getroffen werden können, und nur bei Bedarf eskaliert.</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Inklusivität – rele</w:t>
      </w:r>
      <w:r w:rsidRPr="00C03AC4">
        <w:rPr>
          <w:rFonts w:ascii="Calibri" w:hAnsi="Calibri" w:cs="Calibri"/>
          <w:color w:val="000000" w:themeColor="text1"/>
          <w:lang w:val="en-US"/>
        </w:rPr>
        <w:t>vante Partner und gegebenenfalls externe Interessengruppen werden vor Entscheidungen, die sie betreffen, konsultiert.</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Konsens zuerst, Mehrheit als Ausweichlösung – das CoVE strebt einen Konsens an; wenn innerhalb eines angemessenen Zeitraums kein Konsens erzielt werden kann, kommt ein festgelegter Abstimmungs-/Genehmigungsmechanismus zur Anwendung.</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Zeitgerechtigkeit – Ent</w:t>
      </w:r>
      <w:r w:rsidRPr="00C03AC4">
        <w:rPr>
          <w:rFonts w:ascii="Calibri" w:hAnsi="Calibri" w:cs="Calibri"/>
          <w:color w:val="000000" w:themeColor="text1"/>
          <w:lang w:val="en-US"/>
        </w:rPr>
        <w:t>scheidungen werden innerhalb von Zeitrahmen getroffen, die den Betrieb des CoVE oder die Verpflichtungen seiner Partner nicht beeinträchtigen.</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Verantwortlichkeit – jede Entscheidung hat einen klar identifizierten Verantwortlichen und eine zuständige Stelle</w:t>
      </w:r>
      <w:r w:rsidRPr="00C03AC4">
        <w:rPr>
          <w:rFonts w:ascii="Calibri" w:hAnsi="Calibri" w:cs="Calibri"/>
          <w:color w:val="000000" w:themeColor="text1"/>
          <w:lang w:val="en-US"/>
        </w:rPr>
        <w:t>.</w:t>
      </w:r>
    </w:p>
    <w:p w:rsidR="00D95924" w:rsidRPr="00C03AC4" w:rsidRDefault="009E2C4A"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Einhaltung der Bestimmungen – Entscheidungen respektieren die Gründungsvereinbarungen des CoVE, die EU-Förderrichtlinien und das anwendbare nationale/regionale Recht.</w:t>
      </w:r>
    </w:p>
    <w:p w:rsidR="00D95924" w:rsidRPr="00C03AC4" w:rsidRDefault="009E2C4A">
      <w:pPr>
        <w:shd w:val="clear" w:color="auto" w:fill="FCF2D8"/>
        <w:spacing w:after="160" w:line="300" w:lineRule="auto"/>
        <w:rPr>
          <w:rFonts w:ascii="Calibri" w:hAnsi="Calibri" w:cs="Calibri"/>
          <w:lang w:val="en-US"/>
        </w:rPr>
      </w:pPr>
      <w:r w:rsidRPr="00C03AC4">
        <w:rPr>
          <w:rFonts w:ascii="Calibri" w:hAnsi="Calibri" w:cs="Calibri"/>
          <w:i/>
          <w:iCs/>
          <w:color w:val="8A6300"/>
          <w:lang w:val="en-US"/>
        </w:rPr>
        <w:t>[Fügen Sie die Grundsätze hinzu oder ändern Sie sie, um sie an die Partnerschaftsverein</w:t>
      </w:r>
      <w:r w:rsidRPr="00C03AC4">
        <w:rPr>
          <w:rFonts w:ascii="Calibri" w:hAnsi="Calibri" w:cs="Calibri"/>
          <w:i/>
          <w:iCs/>
          <w:color w:val="8A6300"/>
          <w:lang w:val="en-US"/>
        </w:rPr>
        <w:t>barung oder Gründungsurkunde Ihres CoVE anzupassen.]</w:t>
      </w:r>
    </w:p>
    <w:p w:rsidR="00D95924" w:rsidRPr="00C03AC4" w:rsidRDefault="009E2C4A">
      <w:pPr>
        <w:pStyle w:val="Heading1"/>
        <w:keepNext/>
        <w:pBdr>
          <w:bottom w:val="single" w:sz="8" w:space="4" w:color="E1B723"/>
        </w:pBdr>
        <w:spacing w:before="320" w:after="160"/>
        <w:rPr>
          <w:rFonts w:ascii="Calibri" w:hAnsi="Calibri" w:cs="Calibri"/>
          <w:lang w:val="en-US"/>
        </w:rPr>
      </w:pPr>
      <w:r w:rsidRPr="00C03AC4">
        <w:rPr>
          <w:rFonts w:ascii="Calibri" w:hAnsi="Calibri" w:cs="Calibri"/>
          <w:b/>
          <w:bCs/>
          <w:color w:val="0FAFD5"/>
          <w:sz w:val="30"/>
          <w:szCs w:val="30"/>
          <w:lang w:val="en-US"/>
        </w:rPr>
        <w:t>2. Entscheidungskategorien</w:t>
      </w:r>
    </w:p>
    <w:p w:rsidR="00D95924" w:rsidRPr="00C03AC4" w:rsidRDefault="009E2C4A">
      <w:pPr>
        <w:spacing w:after="200" w:line="300" w:lineRule="auto"/>
        <w:rPr>
          <w:rFonts w:ascii="Calibri" w:hAnsi="Calibri" w:cs="Calibri"/>
          <w:color w:val="0E2841" w:themeColor="text2"/>
          <w:lang w:val="en-US"/>
        </w:rPr>
      </w:pPr>
      <w:r w:rsidRPr="00C03AC4">
        <w:rPr>
          <w:rFonts w:ascii="Calibri" w:hAnsi="Calibri" w:cs="Calibri"/>
          <w:i/>
          <w:iCs/>
          <w:color w:val="0E2841" w:themeColor="text2"/>
          <w:lang w:val="en-US"/>
        </w:rPr>
        <w:t>Die Kategorisierung von Entscheidungen klärt, welche Stelle zuständig ist und welche Genehmigungsstufe erforderlich ist.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9"/>
        <w:gridCol w:w="2653"/>
        <w:gridCol w:w="2879"/>
        <w:gridCol w:w="2199"/>
      </w:tblGrid>
      <w:tr w:rsidR="00D95924" w:rsidRPr="00C03AC4">
        <w:trPr>
          <w:cantSplit/>
          <w:tblHeader/>
        </w:trPr>
        <w:tc>
          <w:tcPr>
            <w:tcW w:w="20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Kategorie</w:t>
            </w:r>
          </w:p>
        </w:tc>
        <w:tc>
          <w:tcPr>
            <w:tcW w:w="28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Beschreibung</w:t>
            </w:r>
          </w:p>
        </w:tc>
        <w:tc>
          <w:tcPr>
            <w:tcW w:w="28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Beispielentscheidungen</w:t>
            </w:r>
          </w:p>
        </w:tc>
        <w:tc>
          <w:tcPr>
            <w:tcW w:w="17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Genehmigungsschwelle</w:t>
            </w:r>
          </w:p>
        </w:tc>
      </w:tr>
      <w:tr w:rsidR="00D95924" w:rsidRPr="00022033">
        <w:trPr>
          <w:cantSplit/>
        </w:trPr>
        <w:tc>
          <w:tcPr>
            <w:tcW w:w="2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Strategisch</w:t>
            </w:r>
          </w:p>
        </w:tc>
        <w:tc>
          <w:tcPr>
            <w:tcW w:w="2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Entscheidungen, die die langfristige Ausrichtung, den Umfang oder die Partnerschaftsstruktur des CoVE prägen.</w:t>
            </w:r>
          </w:p>
        </w:tc>
        <w:tc>
          <w:tcPr>
            <w:tcW w:w="2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Strategischer Plan, Aufnahme eines neuen Partners, Änderung des Aufgabenbereichs oder der Mission.</w:t>
            </w:r>
          </w:p>
        </w:tc>
        <w:tc>
          <w:tcPr>
            <w:tcW w:w="17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Verwaltungsrat / Lenkungsausschuss – qualifizierte Mehrheit oder Konsens.</w:t>
            </w:r>
          </w:p>
        </w:tc>
      </w:tr>
      <w:tr w:rsidR="00D95924" w:rsidRPr="00022033">
        <w:trPr>
          <w:cantSplit/>
        </w:trPr>
        <w:tc>
          <w:tcPr>
            <w:tcW w:w="20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lastRenderedPageBreak/>
              <w:t>Operativ</w:t>
            </w:r>
          </w:p>
        </w:tc>
        <w:tc>
          <w:tcPr>
            <w:tcW w:w="2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Für die Durchführung der CoVE-Aktivitäten sind tägliche Managemententscheidungen erforderlich.</w:t>
            </w:r>
          </w:p>
        </w:tc>
        <w:tc>
          <w:tcPr>
            <w:tcW w:w="2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Terminplanung, Personaleinsatzplanung, kleinere Budgetumverteilungen.</w:t>
            </w:r>
          </w:p>
        </w:tc>
        <w:tc>
          <w:tcPr>
            <w:tcW w:w="17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Koordinator/Leitender Partner, im Rahmen der übertragenen Befugnisse.</w:t>
            </w:r>
          </w:p>
        </w:tc>
      </w:tr>
      <w:tr w:rsidR="00D95924" w:rsidRPr="00022033">
        <w:trPr>
          <w:cantSplit/>
        </w:trPr>
        <w:tc>
          <w:tcPr>
            <w:tcW w:w="2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Finanzielle</w:t>
            </w:r>
          </w:p>
        </w:tc>
        <w:tc>
          <w:tcPr>
            <w:tcW w:w="2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Entscheidungen im Zusammenhang mit Budgetzuweisung, Ausgaben oder Finanzierung.</w:t>
            </w:r>
          </w:p>
        </w:tc>
        <w:tc>
          <w:tcPr>
            <w:tcW w:w="2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Jährliche Budgetgenehmigung, Beschaffung oberhalb einer festgelegten Schwelle, </w:t>
            </w:r>
            <w:r w:rsidRPr="00C03AC4">
              <w:rPr>
                <w:rFonts w:ascii="Calibri" w:hAnsi="Calibri" w:cs="Calibri"/>
                <w:sz w:val="20"/>
                <w:szCs w:val="20"/>
                <w:lang w:val="en-US"/>
              </w:rPr>
              <w:t>Kofinanzierungsvereinbarungen.</w:t>
            </w:r>
          </w:p>
        </w:tc>
        <w:tc>
          <w:tcPr>
            <w:tcW w:w="17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Vorstand / Lenkungsausschuss, auf Vorschlag des Koordinators.</w:t>
            </w:r>
          </w:p>
        </w:tc>
      </w:tr>
      <w:tr w:rsidR="00D95924" w:rsidRPr="00C03AC4">
        <w:trPr>
          <w:cantSplit/>
        </w:trPr>
        <w:tc>
          <w:tcPr>
            <w:tcW w:w="20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Partnerschaft &amp; Mitgliedschaft</w:t>
            </w:r>
          </w:p>
        </w:tc>
        <w:tc>
          <w:tcPr>
            <w:tcW w:w="2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Entscheidungen darüber, wer am CoVE teilnimmt und unter welchen Bedingungen.</w:t>
            </w:r>
          </w:p>
        </w:tc>
        <w:tc>
          <w:tcPr>
            <w:tcW w:w="2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Aufnahme/Austritt von Mitgliedern des Wissensdreiecks,</w:t>
            </w:r>
            <w:r w:rsidRPr="00C03AC4">
              <w:rPr>
                <w:rFonts w:ascii="Calibri" w:hAnsi="Calibri" w:cs="Calibri"/>
                <w:sz w:val="20"/>
                <w:szCs w:val="20"/>
                <w:lang w:val="en-US"/>
              </w:rPr>
              <w:t xml:space="preserve"> Partnerschaftsvereinbarungen.</w:t>
            </w:r>
          </w:p>
        </w:tc>
        <w:tc>
          <w:tcPr>
            <w:tcW w:w="17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Verwaltungsrat / Lenkungsausschuss – Konsens erwünscht.</w:t>
            </w:r>
          </w:p>
        </w:tc>
      </w:tr>
      <w:tr w:rsidR="00D95924" w:rsidRPr="00022033">
        <w:trPr>
          <w:cantSplit/>
        </w:trPr>
        <w:tc>
          <w:tcPr>
            <w:tcW w:w="2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 xml:space="preserve">Qualität &amp; Curriculum</w:t>
            </w:r>
          </w:p>
        </w:tc>
        <w:tc>
          <w:tcPr>
            <w:tcW w:w="2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Entscheidungen über Ausbildungsinhalte, Qualitätsstandards und Akkreditierung.</w:t>
            </w:r>
          </w:p>
        </w:tc>
        <w:tc>
          <w:tcPr>
            <w:tcW w:w="2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Aktualisierung von Curricula, Kriterien der Qualitätssicherung, Zertifizierungsstandards.</w:t>
            </w:r>
          </w:p>
        </w:tc>
        <w:tc>
          <w:tcPr>
            <w:tcW w:w="17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Arbeitsgruppe Qualität &amp; Curriculum, bestätigt durch den Verwaltungsrat.</w:t>
            </w:r>
          </w:p>
        </w:tc>
      </w:tr>
      <w:tr w:rsidR="00D95924" w:rsidRPr="00022033">
        <w:trPr>
          <w:cantSplit/>
        </w:trPr>
        <w:tc>
          <w:tcPr>
            <w:tcW w:w="20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 xml:space="preserve">Kommunikation &amp; Verbreitung</w:t>
            </w:r>
          </w:p>
        </w:tc>
        <w:tc>
          <w:tcPr>
            <w:tcW w:w="2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Entscheidungen über externe Kommunikation, Veröffentlichungen und Sichtbarkeit.</w:t>
            </w:r>
          </w:p>
        </w:tc>
        <w:tc>
          <w:tcPr>
            <w:tcW w:w="2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Pressemitteilungen, Veröffentlichung von Ergebnissen, Teilnahme an externen Veranstaltungen.</w:t>
            </w:r>
          </w:p>
        </w:tc>
        <w:tc>
          <w:tcPr>
            <w:tcW w:w="17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Koordinator, in Abstimmung mit der Kommunikationsleitung.</w:t>
            </w:r>
            <w:r w:rsidRPr="00C03AC4">
              <w:rPr>
                <w:rFonts w:ascii="Calibri" w:hAnsi="Calibri" w:cs="Calibri"/>
                <w:sz w:val="20"/>
                <w:szCs w:val="20"/>
                <w:lang w:val="en-US"/>
              </w:rPr>
              <w:t/>
            </w:r>
          </w:p>
        </w:tc>
      </w:tr>
    </w:tbl>
    <w:p w:rsidR="00D95924" w:rsidRPr="00C03AC4" w:rsidRDefault="00D95924">
      <w:pPr>
        <w:spacing w:before="160"/>
        <w:rPr>
          <w:rFonts w:ascii="Calibri" w:hAnsi="Calibri" w:cs="Calibri"/>
          <w:lang w:val="en-US"/>
        </w:rPr>
      </w:pPr>
    </w:p>
    <w:p w:rsidR="00D95924" w:rsidRPr="00C03AC4" w:rsidRDefault="009E2C4A">
      <w:pPr>
        <w:shd w:val="clear" w:color="auto" w:fill="FCF2D8"/>
        <w:spacing w:after="160" w:line="300" w:lineRule="auto"/>
        <w:rPr>
          <w:rFonts w:ascii="Calibri" w:hAnsi="Calibri" w:cs="Calibri"/>
          <w:lang w:val="en-US"/>
        </w:rPr>
      </w:pPr>
      <w:r w:rsidRPr="00C03AC4">
        <w:rPr>
          <w:rFonts w:ascii="Calibri" w:hAnsi="Calibri" w:cs="Calibri"/>
          <w:i/>
          <w:iCs/>
          <w:color w:val="8A6300"/>
          <w:lang w:val="en-US"/>
        </w:rPr>
        <w:t xml:space="preserve">[Passen Sie Kategorien, Beispiele und Schwellenwerte an das Governance-Modell Ihres CoVE an.]</w:t>
      </w:r>
    </w:p>
    <w:p w:rsidR="00D95924" w:rsidRPr="00C03AC4" w:rsidRDefault="009E2C4A">
      <w:pPr>
        <w:pStyle w:val="Heading1"/>
        <w:keepNext/>
        <w:pBdr>
          <w:bottom w:val="single" w:sz="8" w:space="4" w:color="E1B723"/>
        </w:pBdr>
        <w:spacing w:before="320" w:after="160"/>
        <w:rPr>
          <w:rFonts w:ascii="Calibri" w:hAnsi="Calibri" w:cs="Calibri"/>
          <w:color w:val="0FAFD5"/>
          <w:lang w:val="en-US"/>
        </w:rPr>
      </w:pPr>
      <w:r w:rsidRPr="00C03AC4">
        <w:rPr>
          <w:rFonts w:ascii="Calibri" w:hAnsi="Calibri" w:cs="Calibri"/>
          <w:b/>
          <w:bCs/>
          <w:color w:val="0FAFD5"/>
          <w:sz w:val="30"/>
          <w:szCs w:val="30"/>
          <w:lang w:val="en-US"/>
        </w:rPr>
        <w:t xml:space="preserve">3. Genehmigungsverfahren</w:t>
      </w:r>
    </w:p>
    <w:p w:rsidR="00D95924" w:rsidRPr="00C03AC4" w:rsidRDefault="009E2C4A">
      <w:pPr>
        <w:spacing w:after="200" w:line="300" w:lineRule="auto"/>
        <w:rPr>
          <w:rFonts w:ascii="Calibri" w:hAnsi="Calibri" w:cs="Calibri"/>
          <w:color w:val="0E2841" w:themeColor="text2"/>
          <w:lang w:val="en-US"/>
        </w:rPr>
      </w:pPr>
      <w:r w:rsidRPr="00C03AC4">
        <w:rPr>
          <w:rFonts w:ascii="Calibri" w:hAnsi="Calibri" w:cs="Calibri"/>
          <w:i/>
          <w:iCs/>
          <w:color w:val="0E2841" w:themeColor="text2"/>
          <w:lang w:val="en-US"/>
        </w:rPr>
        <w:t xml:space="preserve">Der nachstehende Standardablauf gilt für alle Entscheidungskategorien; die Schritte 3 und 4 können bei operativen Entscheidungen mit geringem Risiko verkürzt werden.</w:t>
      </w:r>
      <w:r w:rsidRPr="00C03AC4">
        <w:rPr>
          <w:rFonts w:ascii="Calibri" w:hAnsi="Calibri" w:cs="Calibri"/>
          <w:i/>
          <w:iCs/>
          <w:color w:val="0E2841" w:themeColor="text2"/>
          <w:lang w:val="en-US"/>
        </w:rPr>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3450"/>
        <w:gridCol w:w="2400"/>
        <w:gridCol w:w="2400"/>
      </w:tblGrid>
      <w:tr w:rsidR="00D95924" w:rsidRPr="00C03AC4">
        <w:trPr>
          <w:cantSplit/>
          <w:tblHeader/>
        </w:trPr>
        <w:tc>
          <w:tcPr>
            <w:tcW w:w="11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Schritt</w:t>
            </w:r>
          </w:p>
        </w:tc>
        <w:tc>
          <w:tcPr>
            <w:tcW w:w="3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Beschreibung</w:t>
            </w:r>
          </w:p>
        </w:tc>
        <w:tc>
          <w:tcPr>
            <w:tcW w:w="24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Verantwortlich</w:t>
            </w:r>
          </w:p>
        </w:tc>
        <w:tc>
          <w:tcPr>
            <w:tcW w:w="24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Zeitrahmen</w:t>
            </w:r>
          </w:p>
        </w:tc>
      </w:tr>
      <w:tr w:rsidR="00D95924" w:rsidRPr="00C03AC4">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1</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Einreichung des Vorschlags mit Begründung und gegebenenfalls Angaben zu Budget- oder Ressourcenauswirkungen.</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Vorschlagender Partner / Arbeitsgruppe</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Nach Bedarf</w:t>
            </w:r>
          </w:p>
        </w:tc>
      </w:tr>
      <w:tr w:rsidR="00D95924" w:rsidRPr="00C03AC4">
        <w:trPr>
          <w:cantSplit/>
        </w:trPr>
        <w:tc>
          <w:tcPr>
            <w:tcW w:w="1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2</w:t>
            </w:r>
          </w:p>
        </w:tc>
        <w:tc>
          <w:tcPr>
            <w:tcW w:w="3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Erstprüfung zur Bestätigung der Entscheidungskategorie und des passenden Genehmigungswegs.</w:t>
            </w:r>
            <w:r w:rsidRPr="00C03AC4">
              <w:rPr>
                <w:rFonts w:ascii="Calibri" w:hAnsi="Calibri" w:cs="Calibri"/>
                <w:sz w:val="20"/>
                <w:szCs w:val="20"/>
                <w:lang w:val="en-US"/>
              </w:rPr>
              <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Koordinator / Leitender Partner</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Innerhalb von 5 Arbeitstagen</w:t>
            </w:r>
          </w:p>
        </w:tc>
      </w:tr>
      <w:tr w:rsidR="00D95924" w:rsidRPr="00C03AC4">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3</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Konsultation der betroffenen Partner und gegebenenfalls externer Interessengruppen.</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Koordinator, zuständige Arbeitsgruppe</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[Zeitrahmen einfügen]</w:t>
            </w:r>
          </w:p>
        </w:tc>
      </w:tr>
      <w:tr w:rsidR="00D95924" w:rsidRPr="00022033">
        <w:trPr>
          <w:cantSplit/>
        </w:trPr>
        <w:tc>
          <w:tcPr>
            <w:tcW w:w="1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lastRenderedPageBreak/>
              <w:t>4</w:t>
            </w:r>
          </w:p>
        </w:tc>
        <w:tc>
          <w:tcPr>
            <w:tcW w:w="3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Formelle Beratung und Abstimmung bzw. Konsensbildung in der Sitzung der zuständigen Stelle.</w:t>
            </w:r>
            <w:r w:rsidRPr="00C03AC4">
              <w:rPr>
                <w:rFonts w:ascii="Calibri" w:hAnsi="Calibri" w:cs="Calibri"/>
                <w:sz w:val="20"/>
                <w:szCs w:val="20"/>
                <w:lang w:val="en-US"/>
              </w:rPr>
              <w:t xml:space="preserve"/>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Zuständige Stelle (siehe Abschnitt 4)</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In der nächsten planmäßigen Sitzung oder, falls dringend, in einer außerordentlichen Sitzung</w:t>
            </w:r>
          </w:p>
        </w:tc>
      </w:tr>
      <w:tr w:rsidR="00D95924" w:rsidRPr="00022033">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5</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Protokollierung der Entscheidung einschließlich Ergebnis, abweichender Meinungen und etwaiger Auflagen.</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Sekretariat / Protokollführung</w:t>
            </w:r>
            <w:r w:rsidRPr="00C03AC4">
              <w:rPr>
                <w:rFonts w:ascii="Calibri" w:hAnsi="Calibri" w:cs="Calibri"/>
                <w:sz w:val="20"/>
                <w:szCs w:val="20"/>
              </w:rPr>
              <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Innerhalb von 5 Arbeitstagen nach der Sitzung</w:t>
            </w:r>
          </w:p>
        </w:tc>
      </w:tr>
      <w:tr w:rsidR="00D95924" w:rsidRPr="00022033">
        <w:trPr>
          <w:cantSplit/>
        </w:trPr>
        <w:tc>
          <w:tcPr>
            <w:tcW w:w="1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6</w:t>
            </w:r>
          </w:p>
        </w:tc>
        <w:tc>
          <w:tcPr>
            <w:tcW w:w="3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Mitteilung der Entscheidung an alle relevanten Partner und Interessengruppen (siehe Abschnitt 5).</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Koordinator / Kommunikationsleitung</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Innerhalb von 10 Arbeitstagen nach der Sitzung</w:t>
            </w:r>
          </w:p>
        </w:tc>
      </w:tr>
      <w:tr w:rsidR="00D95924" w:rsidRPr="00022033">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7</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Beginn der Umsetzung; der Fortschritt wird am festgelegten Ziel der Entscheidung gemessen.</w:t>
            </w:r>
            <w:r w:rsidRPr="00C03AC4">
              <w:rPr>
                <w:rFonts w:ascii="Calibri" w:hAnsi="Calibri" w:cs="Calibri"/>
                <w:sz w:val="20"/>
                <w:szCs w:val="20"/>
                <w:lang w:val="en-US"/>
              </w:rPr>
              <w:t xml:space="preserve"/>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Benannte Umsetzungsverantwortliche Person</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Wie in der Entscheidung festgelegt</w:t>
            </w:r>
          </w:p>
        </w:tc>
      </w:tr>
    </w:tbl>
    <w:p w:rsidR="00D95924" w:rsidRPr="00C03AC4" w:rsidRDefault="009E2C4A">
      <w:pPr>
        <w:spacing w:before="200" w:after="120"/>
        <w:rPr>
          <w:rFonts w:ascii="Calibri" w:hAnsi="Calibri" w:cs="Calibri"/>
          <w:color w:val="0E2841" w:themeColor="text2"/>
          <w:lang w:val="en-US"/>
        </w:rPr>
      </w:pPr>
      <w:r w:rsidRPr="00C03AC4">
        <w:rPr>
          <w:rFonts w:ascii="Calibri" w:hAnsi="Calibri" w:cs="Calibri"/>
          <w:b/>
          <w:bCs/>
          <w:color w:val="0E2841" w:themeColor="text2"/>
          <w:lang w:val="en-US"/>
        </w:rPr>
        <w:t xml:space="preserve">Dringende/beschleunigte Entscheidungen</w:t>
      </w:r>
    </w:p>
    <w:p w:rsidR="00D95924" w:rsidRPr="00C03AC4" w:rsidRDefault="009E2C4A">
      <w:pPr>
        <w:spacing w:after="160" w:line="300" w:lineRule="auto"/>
        <w:rPr>
          <w:rFonts w:ascii="Calibri" w:hAnsi="Calibri" w:cs="Calibri"/>
          <w:lang w:val="en-US"/>
        </w:rPr>
      </w:pPr>
      <w:r w:rsidRPr="00C03AC4">
        <w:rPr>
          <w:rFonts w:ascii="Calibri" w:hAnsi="Calibri" w:cs="Calibri"/>
          <w:lang w:val="en-US"/>
        </w:rPr>
        <w:t xml:space="preserve">Kann eine Entscheidung nicht bis zur nächsten planmäßigen Sitzung warten, kann der Koordinator unter den Mitgliedern der zuständigen Stelle ein beschleunigtes schriftliches Verfahren (z. B. per E-Mail oder Online-Abstimmung) einleiten, vorbehaltlich [Anforderungen an Beschlussfähigkeit/Fristen einfügen]. Alle beschleunigt getroffenen Entscheidungen sind in der nächsten ordentlichen Sitzung zu bestätigen.</w:t>
      </w:r>
      <w:r w:rsidRPr="00C03AC4">
        <w:rPr>
          <w:rFonts w:ascii="Calibri" w:hAnsi="Calibri" w:cs="Calibri"/>
          <w:lang w:val="en-US"/>
        </w:rPr>
        <w:t/>
      </w:r>
    </w:p>
    <w:p w:rsidR="00D95924" w:rsidRPr="00C03AC4" w:rsidRDefault="009E2C4A">
      <w:pPr>
        <w:pStyle w:val="Heading1"/>
        <w:keepNext/>
        <w:pBdr>
          <w:bottom w:val="single" w:sz="8" w:space="4" w:color="E1B723"/>
        </w:pBdr>
        <w:spacing w:before="320" w:after="160"/>
        <w:rPr>
          <w:rFonts w:ascii="Calibri" w:hAnsi="Calibri" w:cs="Calibri"/>
          <w:color w:val="0FAFD5"/>
          <w:lang w:val="en-US"/>
        </w:rPr>
      </w:pPr>
      <w:r w:rsidRPr="00C03AC4">
        <w:rPr>
          <w:rFonts w:ascii="Calibri" w:hAnsi="Calibri" w:cs="Calibri"/>
          <w:b/>
          <w:bCs/>
          <w:color w:val="0FAFD5"/>
          <w:sz w:val="30"/>
          <w:szCs w:val="30"/>
          <w:lang w:val="en-US"/>
        </w:rPr>
        <w:t xml:space="preserve">4. Zuständige Stellen</w:t>
      </w:r>
    </w:p>
    <w:p w:rsidR="00D95924" w:rsidRPr="00C03AC4" w:rsidRDefault="009E2C4A">
      <w:pPr>
        <w:spacing w:after="200" w:line="300" w:lineRule="auto"/>
        <w:rPr>
          <w:rFonts w:ascii="Calibri" w:hAnsi="Calibri" w:cs="Calibri"/>
          <w:color w:val="0E2841" w:themeColor="text2"/>
          <w:lang w:val="en-US"/>
        </w:rPr>
      </w:pPr>
      <w:r w:rsidRPr="00C03AC4">
        <w:rPr>
          <w:rFonts w:ascii="Calibri" w:hAnsi="Calibri" w:cs="Calibri"/>
          <w:i/>
          <w:iCs/>
          <w:color w:val="0E2841" w:themeColor="text2"/>
          <w:lang w:val="en-US"/>
        </w:rPr>
        <w:t xml:space="preserve">Zusammensetzung und Mandat jeder Stelle sollten anhand der Governance-Satzung oder der Partnerschaftsvereinbarung Ihres CoVE überprüft werden.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0"/>
        <w:gridCol w:w="2450"/>
        <w:gridCol w:w="4450"/>
      </w:tblGrid>
      <w:tr w:rsidR="00D95924" w:rsidRPr="00C03AC4">
        <w:trPr>
          <w:cantSplit/>
          <w:tblHeader/>
        </w:trPr>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Stelle</w:t>
            </w:r>
          </w:p>
        </w:tc>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Zusammensetzung</w:t>
            </w:r>
          </w:p>
        </w:tc>
        <w:tc>
          <w:tcPr>
            <w:tcW w:w="4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Mandat / Entscheidungskategorien</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 xml:space="preserve">Verwaltungsrat / Lenkungsausschuss</w:t>
            </w:r>
            <w:r w:rsidRPr="00C03AC4">
              <w:rPr>
                <w:rFonts w:ascii="Calibri" w:hAnsi="Calibri" w:cs="Calibri"/>
                <w:b/>
                <w:bCs/>
                <w:sz w:val="20"/>
                <w:szCs w:val="20"/>
              </w:rPr>
              <w:t xml:space="preserve"/>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Ein Vertreter bzw. eine Vertreterin je CoVE-Kernpartnerorganisation; Vorsitz beim Koordinator.</w:t>
            </w:r>
          </w:p>
        </w:tc>
        <w:tc>
          <w:tcPr>
            <w:tcW w:w="4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Strategische, finanzielle sowie Partnerschafts- und Mitgliedschaftsentscheidungen; abschließende Genehmigung von Entscheidungen zu Qualität &amp; Curriculum.</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 xml:space="preserve">Koordinator / Leitender Partner</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Benannte koordinierende Organisation.</w:t>
            </w:r>
            <w:r w:rsidRPr="00C03AC4">
              <w:rPr>
                <w:rFonts w:ascii="Calibri" w:hAnsi="Calibri" w:cs="Calibri"/>
                <w:sz w:val="20"/>
                <w:szCs w:val="20"/>
              </w:rPr>
              <w:t/>
            </w:r>
          </w:p>
        </w:tc>
        <w:tc>
          <w:tcPr>
            <w:tcW w:w="4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Operative Entscheidungen im Rahmen der übertragenen Befugnisse; laufende Vertretung des CoVE.</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 xml:space="preserve">Wissensdreieck / Regionalgruppe</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Berufsbildungsanbieter, Vertreter der Wirtschaft und Behörden in einer bestimmten Region.</w:t>
            </w:r>
          </w:p>
        </w:tc>
        <w:tc>
          <w:tcPr>
            <w:tcW w:w="4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Entscheidungen zur regionalen Umsetzung sowie Beiträge zu Entscheidungen über Qualität &amp; Curriculum und Partnerschaft.</w:t>
            </w:r>
            <w:r w:rsidRPr="00C03AC4">
              <w:rPr>
                <w:rFonts w:ascii="Calibri" w:hAnsi="Calibri" w:cs="Calibri"/>
                <w:sz w:val="20"/>
                <w:szCs w:val="20"/>
                <w:lang w:val="en-US"/>
              </w:rPr>
              <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 xml:space="preserve">Arbeitsgruppen / Taskforces</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Von den Partnern benannte Fachleute (z. B. Qualität &amp; Curriculum, Kommunikation).</w:t>
            </w:r>
          </w:p>
        </w:tc>
        <w:tc>
          <w:tcPr>
            <w:tcW w:w="4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Erstellt Empfehlungen und trifft im Rahmen seines</w:t>
            </w:r>
            <w:r w:rsidRPr="00C03AC4">
              <w:rPr>
                <w:rFonts w:ascii="Calibri" w:hAnsi="Calibri" w:cs="Calibri"/>
                <w:sz w:val="20"/>
                <w:szCs w:val="20"/>
                <w:lang w:val="en-US"/>
              </w:rPr>
              <w:t xml:space="preserve"> Mandats delegierte Entscheidungen, die der Ratifizierung durch den Vorstand bedürfen.</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lastRenderedPageBreak/>
              <w:t>Generalversammlung (falls zutreffend)</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Alle CoVE-Partner und, soweit relevant, assoziierte Mitglieder.</w:t>
            </w:r>
          </w:p>
        </w:tc>
        <w:tc>
          <w:tcPr>
            <w:tcW w:w="4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Beratende Rolle; ratifiziert wichtige strategische oder </w:t>
            </w:r>
            <w:r w:rsidRPr="00C03AC4">
              <w:rPr>
                <w:rFonts w:ascii="Calibri" w:hAnsi="Calibri" w:cs="Calibri"/>
                <w:sz w:val="20"/>
                <w:szCs w:val="20"/>
                <w:lang w:val="en-US"/>
              </w:rPr>
              <w:t>verfassungsrechtliche Änderungen, sofern dies im Partnerschaftsabkommen erforderlich ist.</w:t>
            </w:r>
          </w:p>
        </w:tc>
      </w:tr>
    </w:tbl>
    <w:p w:rsidR="00D95924" w:rsidRPr="00C03AC4" w:rsidRDefault="00D95924">
      <w:pPr>
        <w:spacing w:before="160"/>
        <w:rPr>
          <w:rFonts w:ascii="Calibri" w:hAnsi="Calibri" w:cs="Calibri"/>
          <w:lang w:val="en-US"/>
        </w:rPr>
      </w:pPr>
    </w:p>
    <w:p w:rsidR="00D95924" w:rsidRPr="00C03AC4" w:rsidRDefault="009E2C4A">
      <w:pPr>
        <w:shd w:val="clear" w:color="auto" w:fill="FCF2D8"/>
        <w:spacing w:after="160" w:line="300" w:lineRule="auto"/>
        <w:rPr>
          <w:rFonts w:ascii="Calibri" w:hAnsi="Calibri" w:cs="Calibri"/>
          <w:lang w:val="en-US"/>
        </w:rPr>
      </w:pPr>
      <w:r w:rsidRPr="00C03AC4">
        <w:rPr>
          <w:rFonts w:ascii="Calibri" w:hAnsi="Calibri" w:cs="Calibri"/>
          <w:i/>
          <w:iCs/>
          <w:color w:val="8A6300"/>
          <w:lang w:val="en-US"/>
        </w:rPr>
        <w:t>[Benennen Sie die Elemente um oder fügen Sie Zeilen hinzu/entfernen Sie sie, um sie an die tatsächliche Governance-Struktur Ihres CoVE anzupassen.]</w:t>
      </w:r>
    </w:p>
    <w:p w:rsidR="00D95924" w:rsidRPr="00C03AC4" w:rsidRDefault="009E2C4A">
      <w:pPr>
        <w:pStyle w:val="Heading1"/>
        <w:keepNext/>
        <w:pBdr>
          <w:bottom w:val="single" w:sz="8" w:space="4" w:color="E1B723"/>
        </w:pBdr>
        <w:spacing w:before="320" w:after="160"/>
        <w:rPr>
          <w:rFonts w:ascii="Calibri" w:hAnsi="Calibri" w:cs="Calibri"/>
          <w:color w:val="0FAFD5"/>
          <w:lang w:val="en-US"/>
        </w:rPr>
      </w:pPr>
      <w:r w:rsidRPr="00C03AC4">
        <w:rPr>
          <w:rFonts w:ascii="Calibri" w:hAnsi="Calibri" w:cs="Calibri"/>
          <w:b/>
          <w:bCs/>
          <w:color w:val="0FAFD5"/>
          <w:sz w:val="30"/>
          <w:szCs w:val="30"/>
          <w:lang w:val="en-US"/>
        </w:rPr>
        <w:t>5. Kommunikation</w:t>
      </w:r>
      <w:r w:rsidRPr="00C03AC4">
        <w:rPr>
          <w:rFonts w:ascii="Calibri" w:hAnsi="Calibri" w:cs="Calibri"/>
          <w:b/>
          <w:bCs/>
          <w:color w:val="0FAFD5"/>
          <w:sz w:val="30"/>
          <w:szCs w:val="30"/>
          <w:lang w:val="en-US"/>
        </w:rPr>
        <w:t xml:space="preserve"> von Entscheidungen</w:t>
      </w:r>
    </w:p>
    <w:p w:rsidR="00D95924" w:rsidRPr="00C03AC4" w:rsidRDefault="009E2C4A">
      <w:pPr>
        <w:spacing w:after="200" w:line="300" w:lineRule="auto"/>
        <w:rPr>
          <w:rFonts w:ascii="Calibri" w:hAnsi="Calibri" w:cs="Calibri"/>
          <w:lang w:val="en-US"/>
        </w:rPr>
      </w:pPr>
      <w:r w:rsidRPr="00C03AC4">
        <w:rPr>
          <w:rFonts w:ascii="Calibri" w:hAnsi="Calibri" w:cs="Calibri"/>
          <w:i/>
          <w:iCs/>
          <w:color w:val="595959"/>
          <w:lang w:val="en-US"/>
        </w:rPr>
        <w:t>Entscheidungen müssen so kommuniziert werden, dass sie dem Verhältnis zwischen den Betroffenen und der Öffentlichkeit angemessen sind.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0"/>
        <w:gridCol w:w="2450"/>
        <w:gridCol w:w="2200"/>
        <w:gridCol w:w="2250"/>
      </w:tblGrid>
      <w:tr w:rsidR="00D95924" w:rsidRPr="00C03AC4">
        <w:trPr>
          <w:cantSplit/>
          <w:tblHeader/>
        </w:trPr>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Publikum</w:t>
            </w:r>
          </w:p>
        </w:tc>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Kanal</w:t>
            </w:r>
          </w:p>
        </w:tc>
        <w:tc>
          <w:tcPr>
            <w:tcW w:w="22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Verantwortlich</w:t>
            </w:r>
          </w:p>
        </w:tc>
        <w:tc>
          <w:tcPr>
            <w:tcW w:w="22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Zeitrahmen</w:t>
            </w:r>
          </w:p>
        </w:tc>
      </w:tr>
      <w:tr w:rsidR="00D95924" w:rsidRPr="00C03AC4">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Kernpartner von CoVE</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 xml:space="preserve">Sitzungsprotokoll, </w:t>
            </w:r>
            <w:r w:rsidRPr="00C03AC4">
              <w:rPr>
                <w:rFonts w:ascii="Calibri" w:hAnsi="Calibri" w:cs="Calibri"/>
                <w:sz w:val="20"/>
                <w:szCs w:val="20"/>
              </w:rPr>
              <w:t>E-Mail-Rundschreiben</w:t>
            </w:r>
          </w:p>
        </w:tc>
        <w:tc>
          <w:tcPr>
            <w:tcW w:w="22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Koordinator/Sekretariat</w:t>
            </w:r>
          </w:p>
        </w:tc>
        <w:tc>
          <w:tcPr>
            <w:tcW w:w="22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Innerhalb von 10 Werktagen</w:t>
            </w:r>
          </w:p>
        </w:tc>
      </w:tr>
      <w:tr w:rsidR="00D95924" w:rsidRPr="00C03AC4">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Mitglieder des Wissensdreiecks</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Regionale Kurzinformation, Newsletter</w:t>
            </w:r>
          </w:p>
        </w:tc>
        <w:tc>
          <w:tcPr>
            <w:tcW w:w="22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Regionalkoordinator</w:t>
            </w:r>
          </w:p>
        </w:tc>
        <w:tc>
          <w:tcPr>
            <w:tcW w:w="22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Innerhalb von 2 Wochen</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sz w:val="20"/>
                <w:szCs w:val="20"/>
              </w:rPr>
              <w:t>Erweitertes Stakeholder-Netzwerk</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 xml:space="preserve">Website-Aktualisierung, Newsletter, </w:t>
            </w:r>
            <w:r w:rsidRPr="00C03AC4">
              <w:rPr>
                <w:rFonts w:ascii="Calibri" w:hAnsi="Calibri" w:cs="Calibri"/>
                <w:sz w:val="20"/>
                <w:szCs w:val="20"/>
                <w:lang w:val="en-US"/>
              </w:rPr>
              <w:t>soziale Medien</w:t>
            </w:r>
          </w:p>
        </w:tc>
        <w:tc>
          <w:tcPr>
            <w:tcW w:w="22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Kommunikationsleitung</w:t>
            </w:r>
          </w:p>
        </w:tc>
        <w:tc>
          <w:tcPr>
            <w:tcW w:w="22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Innerhalb von 4 Wochen, wenn die Entscheidung öffentlich ist</w:t>
            </w:r>
          </w:p>
        </w:tc>
      </w:tr>
      <w:tr w:rsidR="00D95924" w:rsidRPr="00022033">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b/>
                <w:bCs/>
                <w:sz w:val="20"/>
                <w:szCs w:val="20"/>
                <w:lang w:val="en-US"/>
              </w:rPr>
              <w:t>Förderorganisation / EACEA (falls zutreffend)</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Formeller Meldekanal</w:t>
            </w:r>
          </w:p>
        </w:tc>
        <w:tc>
          <w:tcPr>
            <w:tcW w:w="22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Koordinator</w:t>
            </w:r>
          </w:p>
        </w:tc>
        <w:tc>
          <w:tcPr>
            <w:tcW w:w="22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9E2C4A">
            <w:pPr>
              <w:rPr>
                <w:rFonts w:ascii="Calibri" w:hAnsi="Calibri" w:cs="Calibri"/>
                <w:lang w:val="en-US"/>
              </w:rPr>
            </w:pPr>
            <w:r w:rsidRPr="00C03AC4">
              <w:rPr>
                <w:rFonts w:ascii="Calibri" w:hAnsi="Calibri" w:cs="Calibri"/>
                <w:sz w:val="20"/>
                <w:szCs w:val="20"/>
                <w:lang w:val="en-US"/>
              </w:rPr>
              <w:t>Gemäß den Berichtsfristen der Fördervereinbarung</w:t>
            </w:r>
          </w:p>
        </w:tc>
      </w:tr>
    </w:tbl>
    <w:p w:rsidR="00D95924" w:rsidRPr="00C03AC4" w:rsidRDefault="009E2C4A">
      <w:pPr>
        <w:spacing w:before="200" w:after="120"/>
        <w:rPr>
          <w:rFonts w:ascii="Calibri" w:hAnsi="Calibri" w:cs="Calibri"/>
          <w:color w:val="0FAFD5"/>
          <w:lang w:val="en-US"/>
        </w:rPr>
      </w:pPr>
      <w:r w:rsidRPr="00C03AC4">
        <w:rPr>
          <w:rFonts w:ascii="Calibri" w:hAnsi="Calibri" w:cs="Calibri"/>
          <w:b/>
          <w:bCs/>
          <w:color w:val="0FAFD5"/>
          <w:lang w:val="en-US"/>
        </w:rPr>
        <w:t xml:space="preserve">Mindestinhalt einer </w:t>
      </w:r>
      <w:r w:rsidRPr="00C03AC4">
        <w:rPr>
          <w:rFonts w:ascii="Calibri" w:hAnsi="Calibri" w:cs="Calibri"/>
          <w:b/>
          <w:bCs/>
          <w:color w:val="0FAFD5"/>
          <w:lang w:val="en-US"/>
        </w:rPr>
        <w:t>Entscheidungsmitteilung</w:t>
      </w:r>
    </w:p>
    <w:p w:rsidR="00D95924" w:rsidRPr="00C03AC4" w:rsidRDefault="009E2C4A">
      <w:pPr>
        <w:pStyle w:val="ListParagraph"/>
        <w:numPr>
          <w:ilvl w:val="0"/>
          <w:numId w:val="3"/>
        </w:numPr>
        <w:spacing w:after="90" w:line="280" w:lineRule="auto"/>
        <w:rPr>
          <w:rFonts w:ascii="Calibri" w:hAnsi="Calibri" w:cs="Calibri"/>
          <w:lang w:val="en-US"/>
        </w:rPr>
      </w:pPr>
      <w:r w:rsidRPr="00C03AC4">
        <w:rPr>
          <w:rFonts w:ascii="Calibri" w:hAnsi="Calibri" w:cs="Calibri"/>
          <w:lang w:val="en-US"/>
        </w:rPr>
        <w:t>Was wurde beschlossen und warum?</w:t>
      </w:r>
    </w:p>
    <w:p w:rsidR="00D95924" w:rsidRPr="00C03AC4" w:rsidRDefault="009E2C4A">
      <w:pPr>
        <w:pStyle w:val="ListParagraph"/>
        <w:numPr>
          <w:ilvl w:val="0"/>
          <w:numId w:val="3"/>
        </w:numPr>
        <w:spacing w:after="90" w:line="280" w:lineRule="auto"/>
        <w:rPr>
          <w:rFonts w:ascii="Calibri" w:hAnsi="Calibri" w:cs="Calibri"/>
          <w:lang w:val="en-US"/>
        </w:rPr>
      </w:pPr>
      <w:r w:rsidRPr="00C03AC4">
        <w:rPr>
          <w:rFonts w:ascii="Calibri" w:hAnsi="Calibri" w:cs="Calibri"/>
          <w:lang w:val="en-US"/>
        </w:rPr>
        <w:t>Wer hat die Entscheidung getroffen und wann?</w:t>
      </w:r>
    </w:p>
    <w:p w:rsidR="00D95924" w:rsidRPr="00C03AC4" w:rsidRDefault="009E2C4A">
      <w:pPr>
        <w:pStyle w:val="ListParagraph"/>
        <w:numPr>
          <w:ilvl w:val="0"/>
          <w:numId w:val="3"/>
        </w:numPr>
        <w:spacing w:after="90" w:line="280" w:lineRule="auto"/>
        <w:rPr>
          <w:rFonts w:ascii="Calibri" w:hAnsi="Calibri" w:cs="Calibri"/>
          <w:lang w:val="en-US"/>
        </w:rPr>
      </w:pPr>
      <w:r w:rsidRPr="00C03AC4">
        <w:rPr>
          <w:rFonts w:ascii="Calibri" w:hAnsi="Calibri" w:cs="Calibri"/>
          <w:lang w:val="en-US"/>
        </w:rPr>
        <w:t>Wer ist für die Umsetzung verantwortlich und bis wann?</w:t>
      </w:r>
    </w:p>
    <w:p w:rsidR="00D95924" w:rsidRPr="00C03AC4" w:rsidRDefault="009E2C4A">
      <w:pPr>
        <w:pStyle w:val="ListParagraph"/>
        <w:numPr>
          <w:ilvl w:val="0"/>
          <w:numId w:val="3"/>
        </w:numPr>
        <w:spacing w:after="90" w:line="280" w:lineRule="auto"/>
        <w:rPr>
          <w:rFonts w:ascii="Calibri" w:hAnsi="Calibri" w:cs="Calibri"/>
          <w:lang w:val="en-US"/>
        </w:rPr>
      </w:pPr>
      <w:r w:rsidRPr="00C03AC4">
        <w:rPr>
          <w:rFonts w:ascii="Calibri" w:hAnsi="Calibri" w:cs="Calibri"/>
          <w:lang w:val="en-US"/>
        </w:rPr>
        <w:t>Wo das vollständige Protokoll (Protokolle, Belege) zu finden ist.</w:t>
      </w:r>
    </w:p>
    <w:p w:rsidR="00D95924" w:rsidRPr="00C03AC4" w:rsidRDefault="009E2C4A">
      <w:pPr>
        <w:pStyle w:val="Heading1"/>
        <w:keepNext/>
        <w:pBdr>
          <w:bottom w:val="single" w:sz="8" w:space="4" w:color="E1B723"/>
        </w:pBdr>
        <w:spacing w:before="320" w:after="160"/>
        <w:rPr>
          <w:rFonts w:ascii="Calibri" w:hAnsi="Calibri" w:cs="Calibri"/>
          <w:color w:val="0FAFD5"/>
          <w:lang w:val="en-US"/>
        </w:rPr>
      </w:pPr>
      <w:r w:rsidRPr="00C03AC4">
        <w:rPr>
          <w:rFonts w:ascii="Calibri" w:hAnsi="Calibri" w:cs="Calibri"/>
          <w:b/>
          <w:bCs/>
          <w:color w:val="0FAFD5"/>
          <w:sz w:val="30"/>
          <w:szCs w:val="30"/>
          <w:lang w:val="en-US"/>
        </w:rPr>
        <w:t>6. Überprüfungsprozess</w:t>
      </w:r>
    </w:p>
    <w:p w:rsidR="00D95924" w:rsidRPr="00C03AC4" w:rsidRDefault="009E2C4A">
      <w:pPr>
        <w:spacing w:after="200" w:line="300" w:lineRule="auto"/>
        <w:rPr>
          <w:rFonts w:ascii="Calibri" w:hAnsi="Calibri" w:cs="Calibri"/>
          <w:color w:val="0E2841" w:themeColor="text2"/>
          <w:lang w:val="en-US"/>
        </w:rPr>
      </w:pPr>
      <w:r w:rsidRPr="00C03AC4">
        <w:rPr>
          <w:rFonts w:ascii="Calibri" w:hAnsi="Calibri" w:cs="Calibri"/>
          <w:i/>
          <w:iCs/>
          <w:color w:val="0E2841" w:themeColor="text2"/>
          <w:lang w:val="en-US"/>
        </w:rPr>
        <w:t>Dieses Verfahren selbst sollte regelmäßig überprüft werden, um sicherzustellen, dass es noch der tatsächlichen Funktionsweise des CoVE entspricht.</w:t>
      </w:r>
    </w:p>
    <w:p w:rsidR="00D95924" w:rsidRPr="00C03AC4" w:rsidRDefault="009E2C4A"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lastRenderedPageBreak/>
        <w:t xml:space="preserve">Regelmäßige Überprüfung – der Verwaltungsrat überprüft dieses Verfahren mindestens einmal alle [Intervall </w:t>
      </w:r>
      <w:r w:rsidRPr="00C03AC4">
        <w:rPr>
          <w:rFonts w:ascii="Calibri" w:hAnsi="Calibri" w:cs="Calibri"/>
          <w:lang w:val="en-US"/>
        </w:rPr>
        <w:t>einfügen, z. B. 12 Monate] oder zu Beginn jeder neuen Projektphase.</w:t>
      </w:r>
    </w:p>
    <w:p w:rsidR="00D95924" w:rsidRPr="00C03AC4" w:rsidRDefault="009E2C4A"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Ausgelöste Überprüfung – eine Überprüfung wird auch dann eingeleitet, wenn: sich die Partnerschaftsstruktur wesentlich ändert; ein Engpass in der Entscheidungsfindung oder ein Konflikt ein</w:t>
      </w:r>
      <w:r w:rsidRPr="00C03AC4">
        <w:rPr>
          <w:rFonts w:ascii="Calibri" w:hAnsi="Calibri" w:cs="Calibri"/>
          <w:lang w:val="en-US"/>
        </w:rPr>
        <w:t>e Lücke im Verfahren aufdeckt; oder sich die Finanzierungs-/Regulierungsanforderungen ändern.</w:t>
      </w:r>
    </w:p>
    <w:p w:rsidR="00D95924" w:rsidRPr="00C03AC4" w:rsidRDefault="009E2C4A"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Änderungsvorschlag – Jeder Partner kann einen Änderungsvorschlag unter Angabe einer Begründung schriftlich an den Koordinator übermitteln.</w:t>
      </w:r>
    </w:p>
    <w:p w:rsidR="00D95924" w:rsidRPr="00C03AC4" w:rsidRDefault="009E2C4A"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Genehmigung von Änderun</w:t>
      </w:r>
      <w:r w:rsidRPr="00C03AC4">
        <w:rPr>
          <w:rFonts w:ascii="Calibri" w:hAnsi="Calibri" w:cs="Calibri"/>
          <w:lang w:val="en-US"/>
        </w:rPr>
        <w:t>gsanträgen – Änderungsanträge durchlaufen den gleichen Genehmigungsprozess wie strategische Entscheidungen (siehe Abschnitte 2–3).</w:t>
      </w:r>
    </w:p>
    <w:p w:rsidR="00D95924" w:rsidRPr="00C03AC4" w:rsidRDefault="009E2C4A"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 xml:space="preserve">Versionskontrolle – jede genehmigte Version wird in der unten stehenden Tabelle protokolliert, und ersetzte Versionen werden </w:t>
      </w:r>
      <w:r w:rsidRPr="00C03AC4">
        <w:rPr>
          <w:rFonts w:ascii="Calibri" w:hAnsi="Calibri" w:cs="Calibri"/>
          <w:lang w:val="en-US"/>
        </w:rPr>
        <w:t>archiviert, nicht gelöscht.</w:t>
      </w:r>
    </w:p>
    <w:p w:rsidR="00D95924" w:rsidRPr="00C03AC4" w:rsidRDefault="009E2C4A">
      <w:pPr>
        <w:spacing w:before="200" w:after="120"/>
        <w:rPr>
          <w:rFonts w:ascii="Calibri" w:hAnsi="Calibri" w:cs="Calibri"/>
          <w:color w:val="0FAFD5"/>
        </w:rPr>
      </w:pPr>
      <w:r w:rsidRPr="00C03AC4">
        <w:rPr>
          <w:rFonts w:ascii="Calibri" w:hAnsi="Calibri" w:cs="Calibri"/>
          <w:b/>
          <w:bCs/>
          <w:color w:val="0FAFD5"/>
        </w:rPr>
        <w:t>Versionsprotokoll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800"/>
        <w:gridCol w:w="3050"/>
        <w:gridCol w:w="3100"/>
      </w:tblGrid>
      <w:tr w:rsidR="00D95924" w:rsidRPr="00C03AC4">
        <w:trPr>
          <w:cantSplit/>
          <w:tblHeader/>
        </w:trPr>
        <w:tc>
          <w:tcPr>
            <w:tcW w:w="14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 xml:space="preserve">Version</w:t>
            </w:r>
          </w:p>
        </w:tc>
        <w:tc>
          <w:tcPr>
            <w:tcW w:w="18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Datum</w:t>
            </w:r>
          </w:p>
        </w:tc>
        <w:tc>
          <w:tcPr>
            <w:tcW w:w="30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Zusammenfassung der Änderungen</w:t>
            </w:r>
          </w:p>
        </w:tc>
        <w:tc>
          <w:tcPr>
            <w:tcW w:w="31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b/>
                <w:bCs/>
                <w:color w:val="FFFFFF"/>
                <w:sz w:val="20"/>
                <w:szCs w:val="20"/>
              </w:rPr>
              <w:t>Genehmigt von</w:t>
            </w:r>
          </w:p>
        </w:tc>
      </w:tr>
      <w:tr w:rsidR="00D95924" w:rsidRPr="00C03AC4">
        <w:trPr>
          <w:cantSplit/>
        </w:trPr>
        <w:tc>
          <w:tcPr>
            <w:tcW w:w="1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Version 1.0</w:t>
            </w:r>
          </w:p>
        </w:tc>
        <w:tc>
          <w:tcPr>
            <w:tcW w:w="1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[Datum einfügen]</w:t>
            </w:r>
          </w:p>
        </w:tc>
        <w:tc>
          <w:tcPr>
            <w:tcW w:w="3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Erste genehmigte Version.</w:t>
            </w:r>
          </w:p>
        </w:tc>
        <w:tc>
          <w:tcPr>
            <w:tcW w:w="3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9E2C4A">
            <w:pPr>
              <w:rPr>
                <w:rFonts w:ascii="Calibri" w:hAnsi="Calibri" w:cs="Calibri"/>
              </w:rPr>
            </w:pPr>
            <w:r w:rsidRPr="00C03AC4">
              <w:rPr>
                <w:rFonts w:ascii="Calibri" w:hAnsi="Calibri" w:cs="Calibri"/>
                <w:sz w:val="20"/>
                <w:szCs w:val="20"/>
              </w:rPr>
              <w:t>[Zuständige Stelle einfügen]</w:t>
            </w:r>
          </w:p>
        </w:tc>
      </w:tr>
      <w:tr w:rsidR="00D95924" w:rsidRPr="00C03AC4">
        <w:trPr>
          <w:cantSplit/>
        </w:trPr>
        <w:tc>
          <w:tcPr>
            <w:tcW w:w="1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D95924">
            <w:pPr>
              <w:rPr>
                <w:rFonts w:ascii="Calibri" w:hAnsi="Calibri" w:cs="Calibri"/>
              </w:rPr>
            </w:pPr>
          </w:p>
        </w:tc>
        <w:tc>
          <w:tcPr>
            <w:tcW w:w="1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D95924">
            <w:pPr>
              <w:rPr>
                <w:rFonts w:ascii="Calibri" w:hAnsi="Calibri" w:cs="Calibri"/>
              </w:rPr>
            </w:pPr>
          </w:p>
        </w:tc>
        <w:tc>
          <w:tcPr>
            <w:tcW w:w="30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D95924">
            <w:pPr>
              <w:rPr>
                <w:rFonts w:ascii="Calibri" w:hAnsi="Calibri" w:cs="Calibri"/>
              </w:rPr>
            </w:pPr>
          </w:p>
        </w:tc>
        <w:tc>
          <w:tcPr>
            <w:tcW w:w="3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rsidR="00D95924" w:rsidRPr="00C03AC4" w:rsidRDefault="00D95924">
            <w:pPr>
              <w:rPr>
                <w:rFonts w:ascii="Calibri" w:hAnsi="Calibri" w:cs="Calibri"/>
              </w:rPr>
            </w:pPr>
          </w:p>
        </w:tc>
      </w:tr>
      <w:tr w:rsidR="00D95924" w:rsidRPr="00C03AC4">
        <w:trPr>
          <w:cantSplit/>
        </w:trPr>
        <w:tc>
          <w:tcPr>
            <w:tcW w:w="1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D95924">
            <w:pPr>
              <w:rPr>
                <w:rFonts w:ascii="Calibri" w:hAnsi="Calibri" w:cs="Calibri"/>
              </w:rPr>
            </w:pPr>
          </w:p>
        </w:tc>
        <w:tc>
          <w:tcPr>
            <w:tcW w:w="1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D95924">
            <w:pPr>
              <w:rPr>
                <w:rFonts w:ascii="Calibri" w:hAnsi="Calibri" w:cs="Calibri"/>
              </w:rPr>
            </w:pPr>
          </w:p>
        </w:tc>
        <w:tc>
          <w:tcPr>
            <w:tcW w:w="3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D95924">
            <w:pPr>
              <w:rPr>
                <w:rFonts w:ascii="Calibri" w:hAnsi="Calibri" w:cs="Calibri"/>
              </w:rPr>
            </w:pPr>
          </w:p>
        </w:tc>
        <w:tc>
          <w:tcPr>
            <w:tcW w:w="3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rsidR="00D95924" w:rsidRPr="00C03AC4" w:rsidRDefault="00D95924">
            <w:pPr>
              <w:rPr>
                <w:rFonts w:ascii="Calibri" w:hAnsi="Calibri" w:cs="Calibri"/>
              </w:rPr>
            </w:pPr>
          </w:p>
        </w:tc>
      </w:tr>
    </w:tbl>
    <w:p w:rsidR="0043714E" w:rsidRDefault="0043714E" w:rsidP="0043714E">
      <w:pPr>
        <w:rPr>
          <w:rFonts w:ascii="Calibri" w:hAnsi="Calibri" w:cs="Calibri"/>
          <w:b/>
          <w:color w:val="0FAFD5"/>
          <w:sz w:val="28"/>
          <w:szCs w:val="28"/>
          <w:lang w:val="en-US"/>
        </w:rPr>
      </w:pPr>
      <w:r>
        <w:rPr>
          <w:rFonts w:ascii="Calibri" w:hAnsi="Calibri" w:cs="Calibri"/>
          <w:lang w:val="en-US"/>
        </w:rPr>
        <w:br/>
      </w:r>
      <w:r>
        <w:rPr>
          <w:rFonts w:ascii="Calibri" w:hAnsi="Calibri" w:cs="Calibri"/>
          <w:lang w:val="en-US"/>
        </w:rPr>
        <w:br/>
      </w:r>
      <w:r w:rsidRPr="0043714E">
        <w:rPr>
          <w:rFonts w:ascii="Calibri" w:hAnsi="Calibri" w:cs="Calibri"/>
          <w:b/>
          <w:bCs/>
          <w:i/>
          <w:iCs/>
          <w:sz w:val="22"/>
          <w:szCs w:val="22"/>
          <w:u w:val="single"/>
          <w:lang w:val="en-US"/>
        </w:rPr>
        <w:t>ANNEKTIEREN:</w:t>
      </w:r>
      <w:r w:rsidRPr="0043714E">
        <w:rPr>
          <w:rFonts w:ascii="Calibri" w:hAnsi="Calibri" w:cs="Calibri"/>
          <w:i/>
          <w:iCs/>
          <w:sz w:val="20"/>
          <w:szCs w:val="20"/>
          <w:u w:val="single"/>
          <w:lang w:val="en-US"/>
        </w:rPr>
        <w:t xml:space="preserve"> </w:t>
      </w:r>
      <w:r w:rsidRPr="0043714E">
        <w:rPr>
          <w:rFonts w:ascii="Calibri" w:hAnsi="Calibri" w:cs="Calibri"/>
          <w:i/>
          <w:iCs/>
          <w:u w:val="single"/>
          <w:lang w:val="en-US"/>
        </w:rPr>
        <w:br/>
      </w:r>
      <w:r w:rsidRPr="0043714E">
        <w:rPr>
          <w:rFonts w:ascii="Calibri" w:hAnsi="Calibri" w:cs="Calibri"/>
          <w:i/>
          <w:iCs/>
          <w:u w:val="single"/>
          <w:lang w:val="en-US"/>
        </w:rPr>
        <w:br/>
      </w:r>
      <w:r w:rsidRPr="0043714E">
        <w:rPr>
          <w:rFonts w:ascii="Calibri" w:hAnsi="Calibri" w:cs="Calibri"/>
          <w:b/>
          <w:color w:val="0FAFD5"/>
          <w:sz w:val="28"/>
          <w:szCs w:val="28"/>
          <w:lang w:val="en-US"/>
        </w:rPr>
        <w:t>CoVE-Entscheidungsfindungsverfahrensvorlage</w:t>
      </w:r>
    </w:p>
    <w:p w:rsidR="0043714E" w:rsidRPr="0043714E" w:rsidRDefault="0043714E" w:rsidP="0043714E">
      <w:pPr>
        <w:rPr>
          <w:rFonts w:ascii="Calibri" w:hAnsi="Calibri" w:cs="Calibri"/>
          <w:sz w:val="20"/>
          <w:szCs w:val="20"/>
          <w:lang w:val="en-US"/>
        </w:rPr>
      </w:pPr>
    </w:p>
    <w:p w:rsidR="0043714E" w:rsidRPr="0043714E" w:rsidRDefault="0043714E" w:rsidP="0043714E">
      <w:pPr>
        <w:pBdr>
          <w:top w:val="single" w:sz="4" w:space="1" w:color="auto"/>
          <w:left w:val="single" w:sz="4" w:space="4" w:color="auto"/>
          <w:bottom w:val="single" w:sz="4" w:space="1" w:color="auto"/>
          <w:right w:val="single" w:sz="4" w:space="4" w:color="auto"/>
        </w:pBdr>
        <w:shd w:val="clear" w:color="auto" w:fill="DAE9F7" w:themeFill="text2" w:themeFillTint="1A"/>
        <w:rPr>
          <w:rFonts w:ascii="Calibri" w:hAnsi="Calibri" w:cs="Calibri"/>
          <w:b/>
          <w:bCs/>
          <w:i/>
          <w:iCs/>
          <w:sz w:val="20"/>
          <w:szCs w:val="20"/>
          <w:lang w:val="en-US"/>
        </w:rPr>
      </w:pPr>
      <w:r w:rsidRPr="0043714E">
        <w:rPr>
          <w:rFonts w:ascii="Calibri" w:hAnsi="Calibri" w:cs="Calibri"/>
          <w:b/>
          <w:bCs/>
          <w:i/>
          <w:iCs/>
          <w:sz w:val="20"/>
          <w:szCs w:val="20"/>
          <w:lang w:val="en-US"/>
        </w:rPr>
        <w:t>Eine praktische Vorlage zur Definition, Steuerung und Dokumentation von Entscheidungsprozessen innerhalb eines Zentrums für berufliche Exzellenz (CoVE).</w:t>
      </w:r>
    </w:p>
    <w:p w:rsidR="0043714E" w:rsidRDefault="0043714E" w:rsidP="0043714E">
      <w:pPr>
        <w:rPr>
          <w:rFonts w:ascii="Calibri" w:hAnsi="Calibri" w:cs="Calibri"/>
          <w:b/>
          <w:color w:val="0FAFD5"/>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1 CoVE-Informationen</w:t>
      </w:r>
    </w:p>
    <w:tbl>
      <w:tblPr>
        <w:tblStyle w:val="TableGrid"/>
        <w:tblW w:w="0" w:type="auto"/>
        <w:jc w:val="center"/>
        <w:tblLook w:val="04A0" w:firstRow="1" w:lastRow="0" w:firstColumn="1" w:lastColumn="0" w:noHBand="0" w:noVBand="1"/>
      </w:tblPr>
      <w:tblGrid>
        <w:gridCol w:w="4607"/>
        <w:gridCol w:w="4410"/>
      </w:tblGrid>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Feld</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Angaben</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CoVE-Name</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Region / Land</w:t>
            </w:r>
          </w:p>
        </w:tc>
        <w:tc>
          <w:tcPr>
            <w:tcW w:w="7913" w:type="dxa"/>
          </w:tcPr>
          <w:p w:rsidR="0043714E" w:rsidRPr="0043714E" w:rsidRDefault="0043714E" w:rsidP="00E72BF7">
            <w:pPr>
              <w:rPr>
                <w:rFonts w:ascii="Calibri" w:hAnsi="Calibri" w:cs="Calibri"/>
                <w:sz w:val="20"/>
                <w:szCs w:val="20"/>
              </w:rPr>
            </w:pPr>
          </w:p>
        </w:tc>
      </w:tr>
      <w:tr w:rsidR="0043714E" w:rsidRPr="00022033"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Organisation, die die CoVE leitet</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Ansprechpartner</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E-Mail</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Version / Datum</w:t>
            </w:r>
          </w:p>
        </w:tc>
        <w:tc>
          <w:tcPr>
            <w:tcW w:w="7913"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FAFD5"/>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2 Entscheidungsprinzipien</w:t>
      </w:r>
    </w:p>
    <w:tbl>
      <w:tblPr>
        <w:tblStyle w:val="TableGrid"/>
        <w:tblW w:w="0" w:type="auto"/>
        <w:jc w:val="center"/>
        <w:tblLook w:val="04A0" w:firstRow="1" w:lastRow="0" w:firstColumn="1" w:lastColumn="0" w:noHBand="0" w:noVBand="1"/>
      </w:tblPr>
      <w:tblGrid>
        <w:gridCol w:w="4692"/>
        <w:gridCol w:w="4325"/>
      </w:tblGrid>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Prinzip</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Anwendung</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Transparenz</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lastRenderedPageBreak/>
              <w:t>Beteiligung der Interessengruppen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Rechenschaftspflicht</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Evidenzbasierte Entscheidungen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Konsensbildung</w:t>
            </w:r>
          </w:p>
        </w:tc>
        <w:tc>
          <w:tcPr>
            <w:tcW w:w="7913" w:type="dxa"/>
          </w:tcPr>
          <w:p w:rsidR="0043714E" w:rsidRPr="0043714E" w:rsidRDefault="0043714E" w:rsidP="00E72BF7">
            <w:pPr>
              <w:rPr>
                <w:rFonts w:ascii="Calibri" w:hAnsi="Calibri" w:cs="Calibri"/>
                <w:sz w:val="20"/>
                <w:szCs w:val="20"/>
              </w:rPr>
            </w:pPr>
          </w:p>
        </w:tc>
      </w:tr>
      <w:tr w:rsidR="0043714E" w:rsidRPr="00022033"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Ausrichtung an den CoVE-Zielen</w:t>
            </w:r>
          </w:p>
        </w:tc>
        <w:tc>
          <w:tcPr>
            <w:tcW w:w="7913"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FAFD5"/>
          <w:sz w:val="24"/>
          <w:szCs w:val="20"/>
          <w:lang w:val="en-US"/>
        </w:rPr>
      </w:pPr>
    </w:p>
    <w:p w:rsidR="0043714E" w:rsidRPr="0043714E" w:rsidRDefault="0043714E" w:rsidP="0043714E">
      <w:pPr>
        <w:rPr>
          <w:rFonts w:ascii="Calibri" w:hAnsi="Calibri" w:cs="Calibri"/>
          <w:color w:val="0FAFD5"/>
          <w:sz w:val="20"/>
          <w:szCs w:val="20"/>
          <w:lang w:val="en-US"/>
        </w:rPr>
      </w:pPr>
      <w:r w:rsidRPr="0043714E">
        <w:rPr>
          <w:rFonts w:ascii="Calibri" w:hAnsi="Calibri" w:cs="Calibri"/>
          <w:b/>
          <w:color w:val="0FAFD5"/>
          <w:sz w:val="24"/>
          <w:szCs w:val="20"/>
          <w:lang w:val="en-US"/>
        </w:rPr>
        <w:t>3. Leitungsorgane und Entscheidungsbefugnis</w:t>
      </w:r>
    </w:p>
    <w:tbl>
      <w:tblPr>
        <w:tblStyle w:val="TableGrid"/>
        <w:tblW w:w="0" w:type="auto"/>
        <w:jc w:val="center"/>
        <w:tblLook w:val="04A0" w:firstRow="1" w:lastRow="0" w:firstColumn="1" w:lastColumn="0" w:noHBand="0" w:noVBand="1"/>
      </w:tblPr>
      <w:tblGrid>
        <w:gridCol w:w="3199"/>
        <w:gridCol w:w="3037"/>
        <w:gridCol w:w="2781"/>
      </w:tblGrid>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Leitungsgremium</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Rolle</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Mitglieder</w:t>
            </w: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Lenkungsausschuss</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Strategische Entscheidungen</w:t>
            </w:r>
          </w:p>
        </w:tc>
        <w:tc>
          <w:tcPr>
            <w:tcW w:w="527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Koordinationsteam</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Operative Koordination</w:t>
            </w:r>
          </w:p>
        </w:tc>
        <w:tc>
          <w:tcPr>
            <w:tcW w:w="527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Arbeitsgruppen</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Thematische Entscheidungen</w:t>
            </w:r>
          </w:p>
        </w:tc>
        <w:tc>
          <w:tcPr>
            <w:tcW w:w="527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Andere</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Angeben</w:t>
            </w:r>
          </w:p>
        </w:tc>
        <w:tc>
          <w:tcPr>
            <w:tcW w:w="5275"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FAFD5"/>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4 Entscheidungskategorien</w:t>
      </w:r>
    </w:p>
    <w:tbl>
      <w:tblPr>
        <w:tblStyle w:val="TableGrid"/>
        <w:tblW w:w="0" w:type="auto"/>
        <w:jc w:val="center"/>
        <w:tblLook w:val="04A0" w:firstRow="1" w:lastRow="0" w:firstColumn="1" w:lastColumn="0" w:noHBand="0" w:noVBand="1"/>
      </w:tblPr>
      <w:tblGrid>
        <w:gridCol w:w="2843"/>
        <w:gridCol w:w="3192"/>
        <w:gridCol w:w="2982"/>
      </w:tblGrid>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Kategorie</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Beispiele</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Verantwortliche Stelle</w:t>
            </w: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Strategisch</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Ziele, Partnerschaften, Prioritäten</w:t>
            </w:r>
          </w:p>
        </w:tc>
        <w:tc>
          <w:tcPr>
            <w:tcW w:w="527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Operativ</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Aktivitäten und Koordination</w:t>
            </w:r>
          </w:p>
        </w:tc>
        <w:tc>
          <w:tcPr>
            <w:tcW w:w="527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Finanzielle</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Budget und Ressourcen</w:t>
            </w:r>
          </w:p>
        </w:tc>
        <w:tc>
          <w:tcPr>
            <w:tcW w:w="527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Ausbildung &amp; Kompetenzen</w:t>
            </w:r>
          </w:p>
        </w:tc>
        <w:tc>
          <w:tcPr>
            <w:tcW w:w="5275"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Schulungsprioritäten</w:t>
            </w:r>
          </w:p>
        </w:tc>
        <w:tc>
          <w:tcPr>
            <w:tcW w:w="5275"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FAFD5"/>
          <w:sz w:val="24"/>
          <w:szCs w:val="20"/>
          <w:lang w:val="en-US"/>
        </w:rPr>
      </w:pPr>
      <w:r w:rsidRPr="0043714E">
        <w:rPr>
          <w:rFonts w:ascii="Calibri" w:hAnsi="Calibri" w:cs="Calibri"/>
          <w:b/>
          <w:color w:val="0FAFD5"/>
          <w:sz w:val="24"/>
          <w:szCs w:val="20"/>
        </w:rPr>
        <w:t>5. Entscheidungsfindungsprozess</w:t>
      </w:r>
    </w:p>
    <w:p w:rsidR="0043714E" w:rsidRPr="0043714E" w:rsidRDefault="0043714E" w:rsidP="0043714E">
      <w:pPr>
        <w:rPr>
          <w:rFonts w:ascii="Calibri" w:hAnsi="Calibri" w:cs="Calibri"/>
          <w:color w:val="0FAFD5"/>
          <w:sz w:val="20"/>
          <w:szCs w:val="20"/>
          <w:lang w:val="en-US"/>
        </w:rPr>
      </w:pPr>
    </w:p>
    <w:p w:rsidR="0043714E" w:rsidRPr="0043714E" w:rsidRDefault="0043714E" w:rsidP="0043714E">
      <w:pPr>
        <w:pBdr>
          <w:top w:val="single" w:sz="4" w:space="1" w:color="auto"/>
          <w:left w:val="single" w:sz="4" w:space="4" w:color="auto"/>
          <w:bottom w:val="single" w:sz="4" w:space="1" w:color="auto"/>
          <w:right w:val="single" w:sz="4" w:space="4" w:color="auto"/>
        </w:pBdr>
        <w:shd w:val="clear" w:color="auto" w:fill="DAE9F7" w:themeFill="text2" w:themeFillTint="1A"/>
        <w:rPr>
          <w:rFonts w:ascii="Calibri" w:hAnsi="Calibri" w:cs="Calibri"/>
          <w:b/>
          <w:bCs/>
          <w:sz w:val="20"/>
          <w:szCs w:val="20"/>
          <w:lang w:val="en-US"/>
        </w:rPr>
      </w:pPr>
      <w:r w:rsidRPr="0043714E">
        <w:rPr>
          <w:rFonts w:ascii="Calibri" w:hAnsi="Calibri" w:cs="Calibri"/>
          <w:b/>
          <w:bCs/>
          <w:sz w:val="20"/>
          <w:szCs w:val="20"/>
          <w:lang w:val="en-US"/>
        </w:rPr>
        <w:t>Entscheidung festlegen → Vorschlag ausarbeiten → Stakeholder konsultieren → Bewerten und genehmigen → Entscheidung kommunizieren → Maßnahmen umsetzen → Ergebnisse überprüfen</w:t>
      </w:r>
    </w:p>
    <w:p w:rsidR="0043714E" w:rsidRPr="0043714E" w:rsidRDefault="0043714E" w:rsidP="0043714E">
      <w:pPr>
        <w:rPr>
          <w:rFonts w:ascii="Calibri" w:hAnsi="Calibri" w:cs="Calibri"/>
          <w:sz w:val="20"/>
          <w:szCs w:val="20"/>
          <w:lang w:val="en-US"/>
        </w:rPr>
      </w:pPr>
    </w:p>
    <w:tbl>
      <w:tblPr>
        <w:tblStyle w:val="TableGrid"/>
        <w:tblW w:w="0" w:type="auto"/>
        <w:jc w:val="center"/>
        <w:tblLook w:val="04A0" w:firstRow="1" w:lastRow="0" w:firstColumn="1" w:lastColumn="0" w:noHBand="0" w:noVBand="1"/>
      </w:tblPr>
      <w:tblGrid>
        <w:gridCol w:w="4393"/>
        <w:gridCol w:w="4624"/>
      </w:tblGrid>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Schritt</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Wichtigste Ausgabe</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1. Entscheidung identifizieren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Entscheidung identifiziert und protokolliert</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2. Angebot vorbereiten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Entscheidungsvorschlag erstellt</w:t>
            </w:r>
          </w:p>
        </w:tc>
      </w:tr>
      <w:tr w:rsidR="0043714E" w:rsidRPr="00022033"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3. Konsultation der Interessengruppen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Einholung von Beiträgen der Interessengruppen</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4. Bewerten und genehmigen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Entscheidung genehmigt oder überarbeitet</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5. Entscheidung mitteilen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Entscheidung mitgeteilt</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6. Maßnahmen umsetzen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Entscheidung umgesetzt</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7. Ergebnisse überprüfen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Erkenntnisse identifiziert</w:t>
            </w:r>
          </w:p>
        </w:tc>
      </w:tr>
    </w:tbl>
    <w:p w:rsidR="0043714E" w:rsidRDefault="0043714E" w:rsidP="0043714E">
      <w:pPr>
        <w:rPr>
          <w:rFonts w:ascii="Calibri" w:hAnsi="Calibri" w:cs="Calibri"/>
          <w:b/>
          <w:color w:val="005B96"/>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6. Antragsformular für eine Entscheidung</w:t>
      </w:r>
    </w:p>
    <w:tbl>
      <w:tblPr>
        <w:tblStyle w:val="TableGrid"/>
        <w:tblW w:w="0" w:type="auto"/>
        <w:jc w:val="center"/>
        <w:tblLook w:val="04A0" w:firstRow="1" w:lastRow="0" w:firstColumn="1" w:lastColumn="0" w:noHBand="0" w:noVBand="1"/>
      </w:tblPr>
      <w:tblGrid>
        <w:gridCol w:w="4684"/>
        <w:gridCol w:w="4333"/>
      </w:tblGrid>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Feld</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Angaben</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Entscheidungstitel</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Eingereicht von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Problem / Chance</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Lösungsvorschlag / Optionen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Befragte Interessengruppen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Erwartete Auswirkungen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Erforderliche Genehmigungsstelle</w:t>
            </w:r>
          </w:p>
        </w:tc>
        <w:tc>
          <w:tcPr>
            <w:tcW w:w="7913"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05B96"/>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7 Kriterien für die Entscheidungsgenehmigung</w:t>
      </w:r>
    </w:p>
    <w:tbl>
      <w:tblPr>
        <w:tblStyle w:val="TableGrid"/>
        <w:tblW w:w="0" w:type="auto"/>
        <w:jc w:val="center"/>
        <w:tblLook w:val="04A0" w:firstRow="1" w:lastRow="0" w:firstColumn="1" w:lastColumn="0" w:noHBand="0" w:noVBand="1"/>
      </w:tblPr>
      <w:tblGrid>
        <w:gridCol w:w="4619"/>
        <w:gridCol w:w="4398"/>
      </w:tblGrid>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Kriterien</w:t>
            </w:r>
          </w:p>
        </w:tc>
        <w:tc>
          <w:tcPr>
            <w:tcW w:w="7913"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Beschreibung</w:t>
            </w: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Strategische Relevanz</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lastRenderedPageBreak/>
              <w:t>Durchführbarkeit</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Auswirkungen auf die Interessengruppen</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Nachhaltigkeit</w:t>
            </w:r>
          </w:p>
        </w:tc>
        <w:tc>
          <w:tcPr>
            <w:tcW w:w="7913"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7913" w:type="dxa"/>
          </w:tcPr>
          <w:p w:rsidR="0043714E" w:rsidRPr="0043714E" w:rsidRDefault="0043714E" w:rsidP="00E72BF7">
            <w:pPr>
              <w:rPr>
                <w:rFonts w:ascii="Calibri" w:hAnsi="Calibri" w:cs="Calibri"/>
                <w:sz w:val="20"/>
                <w:szCs w:val="20"/>
              </w:rPr>
            </w:pPr>
            <w:r w:rsidRPr="0043714E">
              <w:rPr>
                <w:rFonts w:ascii="Calibri" w:hAnsi="Calibri" w:cs="Calibri"/>
                <w:sz w:val="20"/>
                <w:szCs w:val="20"/>
              </w:rPr>
              <w:t>Risikobewertung</w:t>
            </w:r>
          </w:p>
        </w:tc>
        <w:tc>
          <w:tcPr>
            <w:tcW w:w="7913"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05B96"/>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8 Entscheidungsprotokoll</w:t>
      </w:r>
    </w:p>
    <w:tbl>
      <w:tblPr>
        <w:tblStyle w:val="TableGrid"/>
        <w:tblW w:w="0" w:type="auto"/>
        <w:jc w:val="center"/>
        <w:tblLook w:val="04A0" w:firstRow="1" w:lastRow="0" w:firstColumn="1" w:lastColumn="0" w:noHBand="0" w:noVBand="1"/>
      </w:tblPr>
      <w:tblGrid>
        <w:gridCol w:w="1508"/>
        <w:gridCol w:w="1888"/>
        <w:gridCol w:w="2056"/>
        <w:gridCol w:w="1608"/>
        <w:gridCol w:w="1957"/>
      </w:tblGrid>
      <w:tr w:rsidR="0043714E" w:rsidRPr="0043714E" w:rsidTr="00E72BF7">
        <w:trPr>
          <w:jc w:val="center"/>
        </w:trPr>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Datum</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Entscheidung</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Verantwortliche Stelle</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Ergebnis</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Nachverfolgen</w:t>
            </w:r>
          </w:p>
        </w:tc>
      </w:tr>
      <w:tr w:rsidR="0043714E" w:rsidRPr="0043714E" w:rsidTr="00E72BF7">
        <w:trPr>
          <w:jc w:val="center"/>
        </w:trPr>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r>
      <w:tr w:rsidR="0043714E" w:rsidRPr="0043714E" w:rsidTr="00E72BF7">
        <w:trPr>
          <w:jc w:val="center"/>
        </w:trPr>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05B96"/>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9. Kommunikation und Dokumentation</w:t>
      </w:r>
    </w:p>
    <w:tbl>
      <w:tblPr>
        <w:tblStyle w:val="TableGrid"/>
        <w:tblW w:w="0" w:type="auto"/>
        <w:jc w:val="center"/>
        <w:tblLook w:val="04A0" w:firstRow="1" w:lastRow="0" w:firstColumn="1" w:lastColumn="0" w:noHBand="0" w:noVBand="1"/>
      </w:tblPr>
      <w:tblGrid>
        <w:gridCol w:w="2180"/>
        <w:gridCol w:w="2207"/>
        <w:gridCol w:w="2495"/>
        <w:gridCol w:w="2135"/>
      </w:tblGrid>
      <w:tr w:rsidR="0043714E" w:rsidRPr="0043714E" w:rsidTr="00E72BF7">
        <w:trPr>
          <w:jc w:val="center"/>
        </w:trPr>
        <w:tc>
          <w:tcPr>
            <w:tcW w:w="3956"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Verfahren</w:t>
            </w:r>
          </w:p>
        </w:tc>
        <w:tc>
          <w:tcPr>
            <w:tcW w:w="3956"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Zielgruppe</w:t>
            </w:r>
          </w:p>
        </w:tc>
        <w:tc>
          <w:tcPr>
            <w:tcW w:w="3956"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Verantwortliche Person</w:t>
            </w:r>
          </w:p>
        </w:tc>
        <w:tc>
          <w:tcPr>
            <w:tcW w:w="3956"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Frequenz</w:t>
            </w:r>
          </w:p>
        </w:tc>
      </w:tr>
      <w:tr w:rsidR="0043714E" w:rsidRPr="0043714E" w:rsidTr="00E72BF7">
        <w:trPr>
          <w:jc w:val="center"/>
        </w:trPr>
        <w:tc>
          <w:tcPr>
            <w:tcW w:w="3956" w:type="dxa"/>
          </w:tcPr>
          <w:p w:rsidR="0043714E" w:rsidRPr="0043714E" w:rsidRDefault="0043714E" w:rsidP="00E72BF7">
            <w:pPr>
              <w:rPr>
                <w:rFonts w:ascii="Calibri" w:hAnsi="Calibri" w:cs="Calibri"/>
                <w:sz w:val="20"/>
                <w:szCs w:val="20"/>
              </w:rPr>
            </w:pPr>
          </w:p>
        </w:tc>
        <w:tc>
          <w:tcPr>
            <w:tcW w:w="3956" w:type="dxa"/>
          </w:tcPr>
          <w:p w:rsidR="0043714E" w:rsidRPr="0043714E" w:rsidRDefault="0043714E" w:rsidP="00E72BF7">
            <w:pPr>
              <w:rPr>
                <w:rFonts w:ascii="Calibri" w:hAnsi="Calibri" w:cs="Calibri"/>
                <w:sz w:val="20"/>
                <w:szCs w:val="20"/>
              </w:rPr>
            </w:pPr>
          </w:p>
        </w:tc>
        <w:tc>
          <w:tcPr>
            <w:tcW w:w="3956" w:type="dxa"/>
          </w:tcPr>
          <w:p w:rsidR="0043714E" w:rsidRPr="0043714E" w:rsidRDefault="0043714E" w:rsidP="00E72BF7">
            <w:pPr>
              <w:rPr>
                <w:rFonts w:ascii="Calibri" w:hAnsi="Calibri" w:cs="Calibri"/>
                <w:sz w:val="20"/>
                <w:szCs w:val="20"/>
              </w:rPr>
            </w:pPr>
          </w:p>
        </w:tc>
        <w:tc>
          <w:tcPr>
            <w:tcW w:w="3956" w:type="dxa"/>
          </w:tcPr>
          <w:p w:rsidR="0043714E" w:rsidRPr="0043714E" w:rsidRDefault="0043714E" w:rsidP="00E72BF7">
            <w:pPr>
              <w:rPr>
                <w:rFonts w:ascii="Calibri" w:hAnsi="Calibri" w:cs="Calibri"/>
                <w:sz w:val="20"/>
                <w:szCs w:val="20"/>
              </w:rPr>
            </w:pPr>
          </w:p>
        </w:tc>
      </w:tr>
    </w:tbl>
    <w:p w:rsidR="0043714E" w:rsidRDefault="0043714E" w:rsidP="0043714E">
      <w:pPr>
        <w:rPr>
          <w:rFonts w:ascii="Calibri" w:hAnsi="Calibri" w:cs="Calibri"/>
          <w:b/>
          <w:color w:val="005B96"/>
          <w:sz w:val="24"/>
          <w:szCs w:val="20"/>
          <w:lang w:val="en-US"/>
        </w:rPr>
      </w:pPr>
    </w:p>
    <w:p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10. Validierung und Genehmigung</w:t>
      </w:r>
    </w:p>
    <w:tbl>
      <w:tblPr>
        <w:tblStyle w:val="TableGrid"/>
        <w:tblW w:w="0" w:type="auto"/>
        <w:jc w:val="center"/>
        <w:tblLook w:val="04A0" w:firstRow="1" w:lastRow="0" w:firstColumn="1" w:lastColumn="0" w:noHBand="0" w:noVBand="1"/>
      </w:tblPr>
      <w:tblGrid>
        <w:gridCol w:w="1672"/>
        <w:gridCol w:w="2022"/>
        <w:gridCol w:w="1627"/>
        <w:gridCol w:w="1715"/>
        <w:gridCol w:w="1981"/>
      </w:tblGrid>
      <w:tr w:rsidR="0043714E" w:rsidRPr="0043714E" w:rsidTr="00E72BF7">
        <w:trPr>
          <w:jc w:val="center"/>
        </w:trPr>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Name</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Organisation</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Rolle</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Datum</w:t>
            </w:r>
          </w:p>
        </w:tc>
        <w:tc>
          <w:tcPr>
            <w:tcW w:w="3165" w:type="dxa"/>
          </w:tcPr>
          <w:p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Unterschrift</w:t>
            </w:r>
          </w:p>
        </w:tc>
      </w:tr>
      <w:tr w:rsidR="0043714E" w:rsidRPr="0043714E" w:rsidTr="00E72BF7">
        <w:trPr>
          <w:jc w:val="center"/>
        </w:trPr>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c>
          <w:tcPr>
            <w:tcW w:w="3165" w:type="dxa"/>
          </w:tcPr>
          <w:p w:rsidR="0043714E" w:rsidRPr="0043714E" w:rsidRDefault="0043714E" w:rsidP="00E72BF7">
            <w:pPr>
              <w:rPr>
                <w:rFonts w:ascii="Calibri" w:hAnsi="Calibri" w:cs="Calibri"/>
                <w:sz w:val="20"/>
                <w:szCs w:val="20"/>
              </w:rPr>
            </w:pPr>
          </w:p>
        </w:tc>
      </w:tr>
    </w:tbl>
    <w:p w:rsidR="0043714E" w:rsidRPr="0043714E" w:rsidRDefault="0043714E" w:rsidP="0043714E">
      <w:pPr>
        <w:rPr>
          <w:rFonts w:ascii="Calibri" w:hAnsi="Calibri" w:cs="Calibri"/>
          <w:sz w:val="20"/>
          <w:szCs w:val="20"/>
        </w:rPr>
      </w:pPr>
    </w:p>
    <w:p w:rsidR="00035D84" w:rsidRPr="0043714E" w:rsidRDefault="00035D84">
      <w:pPr>
        <w:rPr>
          <w:rFonts w:ascii="Calibri" w:hAnsi="Calibri" w:cs="Calibri"/>
          <w:sz w:val="20"/>
          <w:szCs w:val="20"/>
          <w:lang w:val="en-US"/>
        </w:rPr>
      </w:pPr>
    </w:p>
    <w:sectPr w:rsidR="00035D84" w:rsidRPr="0043714E">
      <w:headerReference w:type="default" r:id="rId13"/>
      <w:footerReference w:type="default" r:id="rId14"/>
      <w:pgSz w:w="11907"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C4A" w:rsidRDefault="009E2C4A">
      <w:r>
        <w:separator/>
      </w:r>
    </w:p>
  </w:endnote>
  <w:endnote w:type="continuationSeparator" w:id="0">
    <w:p w:rsidR="009E2C4A" w:rsidRDefault="009E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A25" w:rsidRDefault="004E4A2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A25" w:rsidRPr="004E4A25" w:rsidRDefault="004E4A25" w:rsidP="004E4A25">
    <w:pPr>
      <w:pStyle w:val="BodyText"/>
      <w:spacing w:line="252" w:lineRule="auto"/>
      <w:ind w:left="3828" w:right="544"/>
      <w:jc w:val="both"/>
      <w:rPr>
        <w:rFonts w:asciiTheme="majorHAnsi" w:hAnsiTheme="majorHAnsi" w:cstheme="majorHAnsi"/>
        <w:sz w:val="16"/>
        <w:szCs w:val="16"/>
      </w:rPr>
    </w:pPr>
    <w:r>
      <w:rPr>
        <w:rFonts w:asciiTheme="majorHAnsi" w:hAnsiTheme="majorHAnsi" w:cstheme="majorHAnsi"/>
        <w:noProof/>
        <w:spacing w:val="-4"/>
        <w:sz w:val="16"/>
        <w:szCs w:val="16"/>
      </w:rPr>
      <w:drawing>
        <wp:anchor distT="0" distB="0" distL="114300" distR="114300" simplePos="0" relativeHeight="251661312" behindDoc="0" locked="0" layoutInCell="1" allowOverlap="1" wp14:anchorId="516AAC46" wp14:editId="3E932484">
          <wp:simplePos x="0" y="0"/>
          <wp:positionH relativeFrom="margin">
            <wp:posOffset>95250</wp:posOffset>
          </wp:positionH>
          <wp:positionV relativeFrom="bottomMargin">
            <wp:posOffset>11430</wp:posOffset>
          </wp:positionV>
          <wp:extent cx="2009775" cy="421005"/>
          <wp:effectExtent l="0" t="0" r="9525" b="0"/>
          <wp:wrapSquare wrapText="bothSides"/>
          <wp:docPr id="934759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0168" name="Picture 538080168"/>
                  <pic:cNvPicPr/>
                </pic:nvPicPr>
                <pic:blipFill>
                  <a:blip r:embed="rId1"/>
                  <a:stretch>
                    <a:fillRect/>
                  </a:stretch>
                </pic:blipFill>
                <pic:spPr>
                  <a:xfrm>
                    <a:off x="0" y="0"/>
                    <a:ext cx="2009775" cy="421005"/>
                  </a:xfrm>
                  <a:prstGeom prst="rect">
                    <a:avLst/>
                  </a:prstGeom>
                </pic:spPr>
              </pic:pic>
            </a:graphicData>
          </a:graphic>
          <wp14:sizeRelH relativeFrom="margin">
            <wp14:pctWidth>0</wp14:pctWidth>
          </wp14:sizeRelH>
          <wp14:sizeRelV relativeFrom="margin">
            <wp14:pctHeight>0</wp14:pctHeight>
          </wp14:sizeRelV>
        </wp:anchor>
      </w:drawing>
    </w:r>
    <w:r w:rsidRPr="00455F5E">
      <w:rPr>
        <w:rFonts w:asciiTheme="majorHAnsi" w:hAnsiTheme="majorHAnsi" w:cstheme="majorHAnsi"/>
        <w:spacing w:val="-4"/>
        <w:sz w:val="16"/>
        <w:szCs w:val="16"/>
      </w:rPr>
      <w:t>Finanziert durch</w:t>
    </w:r>
    <w:r w:rsidRPr="00455F5E">
      <w:rPr>
        <w:rFonts w:asciiTheme="majorHAnsi" w:hAnsiTheme="majorHAnsi" w:cstheme="majorHAnsi"/>
        <w:sz w:val="16"/>
        <w:szCs w:val="16"/>
      </w:rPr>
      <w:t>Die geäußerten Ansichten und Meinungen sind jedoch ausschließlich die der Autoren und spiegeln nicht notwendigerweise die der Europäischen Union oder der Exekutivagentur für Bildung und Kultur (EACEA) wider. Weder die Europäische Union noch die Förderstelle übernehmen dafür die Verantwortung.</w:t>
    </w:r>
  </w:p>
  <w:p w:rsidR="004E4A25" w:rsidRPr="004E4A25" w:rsidRDefault="004E4A25">
    <w:pPr>
      <w:pStyle w:val="Footer"/>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A25" w:rsidRDefault="004E4A2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AC4" w:rsidRPr="00C03AC4" w:rsidRDefault="00C03AC4" w:rsidP="00C03AC4">
    <w:pPr>
      <w:pStyle w:val="BodyText"/>
      <w:spacing w:line="252" w:lineRule="auto"/>
      <w:ind w:left="3544" w:right="96"/>
      <w:jc w:val="both"/>
      <w:rPr>
        <w:rFonts w:asciiTheme="majorHAnsi" w:hAnsiTheme="majorHAnsi" w:cstheme="majorHAnsi"/>
        <w:sz w:val="16"/>
        <w:szCs w:val="16"/>
      </w:rPr>
    </w:pPr>
    <w:r>
      <w:rPr>
        <w:rFonts w:asciiTheme="majorHAnsi" w:hAnsiTheme="majorHAnsi" w:cstheme="majorHAnsi"/>
        <w:noProof/>
        <w:spacing w:val="-4"/>
        <w:sz w:val="16"/>
        <w:szCs w:val="16"/>
      </w:rPr>
      <w:drawing>
        <wp:anchor distT="0" distB="0" distL="114300" distR="114300" simplePos="0" relativeHeight="251659264" behindDoc="0" locked="0" layoutInCell="1" allowOverlap="1" wp14:anchorId="112E1A58" wp14:editId="79F71152">
          <wp:simplePos x="0" y="0"/>
          <wp:positionH relativeFrom="margin">
            <wp:align>left</wp:align>
          </wp:positionH>
          <wp:positionV relativeFrom="bottomMargin">
            <wp:posOffset>14605</wp:posOffset>
          </wp:positionV>
          <wp:extent cx="2009775" cy="421005"/>
          <wp:effectExtent l="0" t="0" r="9525" b="0"/>
          <wp:wrapSquare wrapText="bothSides"/>
          <wp:docPr id="538080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0168" name="Picture 538080168"/>
                  <pic:cNvPicPr/>
                </pic:nvPicPr>
                <pic:blipFill>
                  <a:blip r:embed="rId1"/>
                  <a:stretch>
                    <a:fillRect/>
                  </a:stretch>
                </pic:blipFill>
                <pic:spPr>
                  <a:xfrm>
                    <a:off x="0" y="0"/>
                    <a:ext cx="2009775" cy="421005"/>
                  </a:xfrm>
                  <a:prstGeom prst="rect">
                    <a:avLst/>
                  </a:prstGeom>
                </pic:spPr>
              </pic:pic>
            </a:graphicData>
          </a:graphic>
          <wp14:sizeRelH relativeFrom="margin">
            <wp14:pctWidth>0</wp14:pctWidth>
          </wp14:sizeRelH>
          <wp14:sizeRelV relativeFrom="margin">
            <wp14:pctHeight>0</wp14:pctHeight>
          </wp14:sizeRelV>
        </wp:anchor>
      </w:drawing>
    </w:r>
    <w:r w:rsidRPr="00455F5E">
      <w:rPr>
        <w:rFonts w:asciiTheme="majorHAnsi" w:hAnsiTheme="majorHAnsi" w:cstheme="majorHAnsi"/>
        <w:spacing w:val="-4"/>
        <w:sz w:val="16"/>
        <w:szCs w:val="16"/>
      </w:rPr>
      <w:t>Finanziert durch</w:t>
    </w:r>
    <w:r w:rsidRPr="00455F5E">
      <w:rPr>
        <w:rFonts w:asciiTheme="majorHAnsi" w:hAnsiTheme="majorHAnsi" w:cstheme="majorHAnsi"/>
        <w:sz w:val="16"/>
        <w:szCs w:val="16"/>
      </w:rPr>
      <w:t>Die geäußerten Ansichten und Meinungen sind jedoch ausschließlich die der Autoren und spiegeln nicht notwendigerweise die der Europäischen Union oder der Exekutivagentur für Bildung und Kultur (EACEA) wider. Weder die Europäische Union noch die Förderstelle übernehmen dafür die Verantwortung.</w:t>
    </w:r>
  </w:p>
  <w:p w:rsidR="00D95924" w:rsidRPr="00C03AC4" w:rsidRDefault="00D95924">
    <w:pPr>
      <w:jc w:val="cen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C4A" w:rsidRDefault="009E2C4A">
      <w:r>
        <w:separator/>
      </w:r>
    </w:p>
  </w:footnote>
  <w:footnote w:type="continuationSeparator" w:id="0">
    <w:p w:rsidR="009E2C4A" w:rsidRDefault="009E2C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A25" w:rsidRDefault="004E4A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AC4" w:rsidRPr="00C03AC4" w:rsidRDefault="00C03AC4">
    <w:pPr>
      <w:pStyle w:val="Header"/>
      <w:rPr>
        <w:lang w:val="en-US"/>
      </w:rPr>
    </w:pPr>
    <w:r>
      <w:rPr>
        <w:noProof/>
        <w:lang w:val="en-US" w:eastAsia="en-US"/>
      </w:rPr>
      <w:drawing>
        <wp:inline distT="0" distB="0" distL="0" distR="0" wp14:anchorId="4BC23CC1" wp14:editId="75A18596">
          <wp:extent cx="1097280" cy="1097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0bf8a7-6fa8-4969-826d-f521dacad9c7.png"/>
                  <pic:cNvPicPr/>
                </pic:nvPicPr>
                <pic:blipFill>
                  <a:blip r:embed="rId1"/>
                  <a:stretch>
                    <a:fillRect/>
                  </a:stretch>
                </pic:blipFill>
                <pic:spPr>
                  <a:xfrm>
                    <a:off x="0" y="0"/>
                    <a:ext cx="1097280" cy="1097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A25" w:rsidRDefault="004E4A2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924" w:rsidRPr="00C03AC4" w:rsidRDefault="00C03AC4" w:rsidP="00C03AC4">
    <w:pPr>
      <w:pStyle w:val="Header"/>
      <w:rPr>
        <w:lang w:val="en-US"/>
      </w:rPr>
    </w:pPr>
    <w:r>
      <w:rPr>
        <w:noProof/>
        <w:lang w:val="en-US" w:eastAsia="en-US"/>
      </w:rPr>
      <w:drawing>
        <wp:inline distT="0" distB="0" distL="0" distR="0" wp14:anchorId="0CEACD89" wp14:editId="26DBCA20">
          <wp:extent cx="1097280" cy="1097280"/>
          <wp:effectExtent l="0" t="0" r="0" b="0"/>
          <wp:docPr id="1939623821" name="Picture 193962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0bf8a7-6fa8-4969-826d-f521dacad9c7.png"/>
                  <pic:cNvPicPr/>
                </pic:nvPicPr>
                <pic:blipFill>
                  <a:blip r:embed="rId1"/>
                  <a:stretch>
                    <a:fillRect/>
                  </a:stretch>
                </pic:blipFill>
                <pic:spPr>
                  <a:xfrm>
                    <a:off x="0" y="0"/>
                    <a:ext cx="1097280" cy="1097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A61"/>
    <w:multiLevelType w:val="hybridMultilevel"/>
    <w:tmpl w:val="7D5482D4"/>
    <w:lvl w:ilvl="0" w:tplc="76CE491E">
      <w:start w:val="1"/>
      <w:numFmt w:val="bullet"/>
      <w:lvlText w:val="●"/>
      <w:lvlJc w:val="left"/>
      <w:pPr>
        <w:ind w:left="720" w:hanging="360"/>
      </w:pPr>
    </w:lvl>
    <w:lvl w:ilvl="1" w:tplc="90BAAF20">
      <w:start w:val="1"/>
      <w:numFmt w:val="bullet"/>
      <w:lvlText w:val="○"/>
      <w:lvlJc w:val="left"/>
      <w:pPr>
        <w:ind w:left="1440" w:hanging="360"/>
      </w:pPr>
    </w:lvl>
    <w:lvl w:ilvl="2" w:tplc="E626E6EA">
      <w:start w:val="1"/>
      <w:numFmt w:val="bullet"/>
      <w:lvlText w:val="■"/>
      <w:lvlJc w:val="left"/>
      <w:pPr>
        <w:ind w:left="2160" w:hanging="360"/>
      </w:pPr>
    </w:lvl>
    <w:lvl w:ilvl="3" w:tplc="64C0A4F8">
      <w:start w:val="1"/>
      <w:numFmt w:val="bullet"/>
      <w:lvlText w:val="●"/>
      <w:lvlJc w:val="left"/>
      <w:pPr>
        <w:ind w:left="2880" w:hanging="360"/>
      </w:pPr>
    </w:lvl>
    <w:lvl w:ilvl="4" w:tplc="57CEF536">
      <w:start w:val="1"/>
      <w:numFmt w:val="bullet"/>
      <w:lvlText w:val="○"/>
      <w:lvlJc w:val="left"/>
      <w:pPr>
        <w:ind w:left="3600" w:hanging="360"/>
      </w:pPr>
    </w:lvl>
    <w:lvl w:ilvl="5" w:tplc="C0F404C0">
      <w:start w:val="1"/>
      <w:numFmt w:val="bullet"/>
      <w:lvlText w:val="■"/>
      <w:lvlJc w:val="left"/>
      <w:pPr>
        <w:ind w:left="4320" w:hanging="360"/>
      </w:pPr>
    </w:lvl>
    <w:lvl w:ilvl="6" w:tplc="B4EAF658">
      <w:start w:val="1"/>
      <w:numFmt w:val="bullet"/>
      <w:lvlText w:val="●"/>
      <w:lvlJc w:val="left"/>
      <w:pPr>
        <w:ind w:left="5040" w:hanging="360"/>
      </w:pPr>
    </w:lvl>
    <w:lvl w:ilvl="7" w:tplc="23B8A3B4">
      <w:start w:val="1"/>
      <w:numFmt w:val="bullet"/>
      <w:lvlText w:val="●"/>
      <w:lvlJc w:val="left"/>
      <w:pPr>
        <w:ind w:left="5760" w:hanging="360"/>
      </w:pPr>
    </w:lvl>
    <w:lvl w:ilvl="8" w:tplc="AF38818A">
      <w:start w:val="1"/>
      <w:numFmt w:val="bullet"/>
      <w:lvlText w:val="●"/>
      <w:lvlJc w:val="left"/>
      <w:pPr>
        <w:ind w:left="6480" w:hanging="360"/>
      </w:pPr>
    </w:lvl>
  </w:abstractNum>
  <w:abstractNum w:abstractNumId="1" w15:restartNumberingAfterBreak="0">
    <w:nsid w:val="09C614D9"/>
    <w:multiLevelType w:val="hybridMultilevel"/>
    <w:tmpl w:val="DD16347C"/>
    <w:lvl w:ilvl="0" w:tplc="F25423F0">
      <w:start w:val="1"/>
      <w:numFmt w:val="bullet"/>
      <w:lvlText w:val="•"/>
      <w:lvlJc w:val="left"/>
      <w:pPr>
        <w:ind w:left="420" w:hanging="260"/>
      </w:pPr>
    </w:lvl>
    <w:lvl w:ilvl="1" w:tplc="233042AC">
      <w:start w:val="1"/>
      <w:numFmt w:val="bullet"/>
      <w:lvlText w:val="◦"/>
      <w:lvlJc w:val="left"/>
      <w:pPr>
        <w:ind w:left="840" w:hanging="260"/>
      </w:pPr>
    </w:lvl>
    <w:lvl w:ilvl="2" w:tplc="34DA1A5C">
      <w:numFmt w:val="decimal"/>
      <w:lvlText w:val=""/>
      <w:lvlJc w:val="left"/>
    </w:lvl>
    <w:lvl w:ilvl="3" w:tplc="85FA4240">
      <w:numFmt w:val="decimal"/>
      <w:lvlText w:val=""/>
      <w:lvlJc w:val="left"/>
    </w:lvl>
    <w:lvl w:ilvl="4" w:tplc="0DEEC736">
      <w:numFmt w:val="decimal"/>
      <w:lvlText w:val=""/>
      <w:lvlJc w:val="left"/>
    </w:lvl>
    <w:lvl w:ilvl="5" w:tplc="F454DECE">
      <w:numFmt w:val="decimal"/>
      <w:lvlText w:val=""/>
      <w:lvlJc w:val="left"/>
    </w:lvl>
    <w:lvl w:ilvl="6" w:tplc="10529360">
      <w:numFmt w:val="decimal"/>
      <w:lvlText w:val=""/>
      <w:lvlJc w:val="left"/>
    </w:lvl>
    <w:lvl w:ilvl="7" w:tplc="5B702D14">
      <w:numFmt w:val="decimal"/>
      <w:lvlText w:val=""/>
      <w:lvlJc w:val="left"/>
    </w:lvl>
    <w:lvl w:ilvl="8" w:tplc="A5E6FC6A">
      <w:numFmt w:val="decimal"/>
      <w:lvlText w:val=""/>
      <w:lvlJc w:val="left"/>
    </w:lvl>
  </w:abstractNum>
  <w:abstractNum w:abstractNumId="2" w15:restartNumberingAfterBreak="0">
    <w:nsid w:val="165B641E"/>
    <w:multiLevelType w:val="hybridMultilevel"/>
    <w:tmpl w:val="2228DC5C"/>
    <w:lvl w:ilvl="0" w:tplc="70E2158E">
      <w:start w:val="1"/>
      <w:numFmt w:val="decimal"/>
      <w:lvlText w:val="%1."/>
      <w:lvlJc w:val="left"/>
      <w:pPr>
        <w:ind w:left="420" w:hanging="260"/>
      </w:pPr>
    </w:lvl>
    <w:lvl w:ilvl="1" w:tplc="4858D212">
      <w:numFmt w:val="decimal"/>
      <w:lvlText w:val=""/>
      <w:lvlJc w:val="left"/>
    </w:lvl>
    <w:lvl w:ilvl="2" w:tplc="B5227818">
      <w:numFmt w:val="decimal"/>
      <w:lvlText w:val=""/>
      <w:lvlJc w:val="left"/>
    </w:lvl>
    <w:lvl w:ilvl="3" w:tplc="CD2A39FA">
      <w:numFmt w:val="decimal"/>
      <w:lvlText w:val=""/>
      <w:lvlJc w:val="left"/>
    </w:lvl>
    <w:lvl w:ilvl="4" w:tplc="9CD87AAE">
      <w:numFmt w:val="decimal"/>
      <w:lvlText w:val=""/>
      <w:lvlJc w:val="left"/>
    </w:lvl>
    <w:lvl w:ilvl="5" w:tplc="D2D84AC6">
      <w:numFmt w:val="decimal"/>
      <w:lvlText w:val=""/>
      <w:lvlJc w:val="left"/>
    </w:lvl>
    <w:lvl w:ilvl="6" w:tplc="E4F07B10">
      <w:numFmt w:val="decimal"/>
      <w:lvlText w:val=""/>
      <w:lvlJc w:val="left"/>
    </w:lvl>
    <w:lvl w:ilvl="7" w:tplc="B2F2A530">
      <w:numFmt w:val="decimal"/>
      <w:lvlText w:val=""/>
      <w:lvlJc w:val="left"/>
    </w:lvl>
    <w:lvl w:ilvl="8" w:tplc="C05C22EE">
      <w:numFmt w:val="decimal"/>
      <w:lvlText w:val=""/>
      <w:lvlJc w:val="left"/>
    </w:lvl>
  </w:abstractNum>
  <w:abstractNum w:abstractNumId="3" w15:restartNumberingAfterBreak="0">
    <w:nsid w:val="737D417B"/>
    <w:multiLevelType w:val="hybridMultilevel"/>
    <w:tmpl w:val="9D160196"/>
    <w:lvl w:ilvl="0" w:tplc="26D63C20">
      <w:start w:val="1"/>
      <w:numFmt w:val="decimal"/>
      <w:lvlText w:val="%1."/>
      <w:lvlJc w:val="left"/>
      <w:pPr>
        <w:ind w:left="420" w:hanging="260"/>
      </w:pPr>
    </w:lvl>
    <w:lvl w:ilvl="1" w:tplc="0BEEF33A">
      <w:numFmt w:val="decimal"/>
      <w:lvlText w:val=""/>
      <w:lvlJc w:val="left"/>
    </w:lvl>
    <w:lvl w:ilvl="2" w:tplc="A98CCB40">
      <w:numFmt w:val="decimal"/>
      <w:lvlText w:val=""/>
      <w:lvlJc w:val="left"/>
    </w:lvl>
    <w:lvl w:ilvl="3" w:tplc="03F2C386">
      <w:numFmt w:val="decimal"/>
      <w:lvlText w:val=""/>
      <w:lvlJc w:val="left"/>
    </w:lvl>
    <w:lvl w:ilvl="4" w:tplc="86AE59C4">
      <w:numFmt w:val="decimal"/>
      <w:lvlText w:val=""/>
      <w:lvlJc w:val="left"/>
    </w:lvl>
    <w:lvl w:ilvl="5" w:tplc="07B893DC">
      <w:numFmt w:val="decimal"/>
      <w:lvlText w:val=""/>
      <w:lvlJc w:val="left"/>
    </w:lvl>
    <w:lvl w:ilvl="6" w:tplc="D298B93E">
      <w:numFmt w:val="decimal"/>
      <w:lvlText w:val=""/>
      <w:lvlJc w:val="left"/>
    </w:lvl>
    <w:lvl w:ilvl="7" w:tplc="1410FE92">
      <w:numFmt w:val="decimal"/>
      <w:lvlText w:val=""/>
      <w:lvlJc w:val="left"/>
    </w:lvl>
    <w:lvl w:ilvl="8" w:tplc="D7404348">
      <w:numFmt w:val="decimal"/>
      <w:lvlText w:val=""/>
      <w:lvlJc w:val="left"/>
    </w:lvl>
  </w:abstractNum>
  <w:num w:numId="1">
    <w:abstractNumId w:val="0"/>
    <w:lvlOverride w:ilvl="0">
      <w:startOverride w:val="1"/>
    </w:lvlOverride>
  </w:num>
  <w:num w:numId="2">
    <w:abstractNumId w:val="3"/>
    <w:lvlOverride w:ilvl="0">
      <w:startOverride w:val="1"/>
    </w:lvlOverride>
  </w:num>
  <w:num w:numId="3">
    <w:abstractNumId w:val="1"/>
    <w:lvlOverride w:ilvl="0">
      <w:startOverride w:val="1"/>
    </w:lvlOverride>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924"/>
    <w:rsid w:val="00022033"/>
    <w:rsid w:val="00035D84"/>
    <w:rsid w:val="0043714E"/>
    <w:rsid w:val="0048365F"/>
    <w:rsid w:val="004E4A25"/>
    <w:rsid w:val="009E2C4A"/>
    <w:rsid w:val="00C03AC4"/>
    <w:rsid w:val="00D95924"/>
    <w:rsid w:val="00F42F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86B5F8-7CF5-4697-B2E8-78D200B58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A1A1A"/>
        <w:sz w:val="21"/>
        <w:szCs w:val="21"/>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03AC4"/>
    <w:pPr>
      <w:tabs>
        <w:tab w:val="center" w:pos="4153"/>
        <w:tab w:val="right" w:pos="8306"/>
      </w:tabs>
    </w:pPr>
  </w:style>
  <w:style w:type="character" w:customStyle="1" w:styleId="HeaderChar">
    <w:name w:val="Header Char"/>
    <w:basedOn w:val="DefaultParagraphFont"/>
    <w:link w:val="Header"/>
    <w:uiPriority w:val="99"/>
    <w:rsid w:val="00C03AC4"/>
  </w:style>
  <w:style w:type="paragraph" w:styleId="Footer">
    <w:name w:val="footer"/>
    <w:basedOn w:val="Normal"/>
    <w:link w:val="FooterChar"/>
    <w:uiPriority w:val="99"/>
    <w:unhideWhenUsed/>
    <w:rsid w:val="00C03AC4"/>
    <w:pPr>
      <w:tabs>
        <w:tab w:val="center" w:pos="4153"/>
        <w:tab w:val="right" w:pos="8306"/>
      </w:tabs>
    </w:pPr>
  </w:style>
  <w:style w:type="character" w:customStyle="1" w:styleId="FooterChar">
    <w:name w:val="Footer Char"/>
    <w:basedOn w:val="DefaultParagraphFont"/>
    <w:link w:val="Footer"/>
    <w:uiPriority w:val="99"/>
    <w:rsid w:val="00C03AC4"/>
  </w:style>
  <w:style w:type="paragraph" w:styleId="BodyText">
    <w:name w:val="Body Text"/>
    <w:basedOn w:val="Normal"/>
    <w:link w:val="BodyTextChar"/>
    <w:uiPriority w:val="99"/>
    <w:unhideWhenUsed/>
    <w:rsid w:val="00C03AC4"/>
    <w:pPr>
      <w:spacing w:after="120" w:line="276" w:lineRule="auto"/>
    </w:pPr>
    <w:rPr>
      <w:rFonts w:asciiTheme="minorHAnsi" w:eastAsiaTheme="minorEastAsia" w:hAnsiTheme="minorHAnsi" w:cstheme="minorBidi"/>
      <w:color w:val="auto"/>
      <w:sz w:val="22"/>
      <w:szCs w:val="22"/>
      <w:lang w:val="en-US" w:eastAsia="en-US"/>
    </w:rPr>
  </w:style>
  <w:style w:type="character" w:customStyle="1" w:styleId="BodyTextChar">
    <w:name w:val="Body Text Char"/>
    <w:basedOn w:val="DefaultParagraphFont"/>
    <w:link w:val="BodyText"/>
    <w:uiPriority w:val="99"/>
    <w:rsid w:val="00C03AC4"/>
    <w:rPr>
      <w:rFonts w:asciiTheme="minorHAnsi" w:eastAsiaTheme="minorEastAsia" w:hAnsiTheme="minorHAnsi" w:cstheme="minorBidi"/>
      <w:color w:val="auto"/>
      <w:sz w:val="22"/>
      <w:szCs w:val="22"/>
      <w:lang w:val="en-US" w:eastAsia="en-US"/>
    </w:rPr>
  </w:style>
  <w:style w:type="table" w:styleId="TableGrid">
    <w:name w:val="Table Grid"/>
    <w:basedOn w:val="TableNormal"/>
    <w:uiPriority w:val="59"/>
    <w:rsid w:val="0043714E"/>
    <w:rPr>
      <w:rFonts w:asciiTheme="minorHAnsi" w:eastAsiaTheme="minorEastAsia" w:hAnsiTheme="minorHAnsi" w:cstheme="minorBidi"/>
      <w:color w:val="auto"/>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8</Pages>
  <Words>1771</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CoVE Decision-Making Procedure Template</vt:lpstr>
    </vt:vector>
  </TitlesOfParts>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 Decision-Making Procedure Template</dc:title>
  <dc:creator>TourX Project</dc:creator>
  <dc:description>TourX Governance Toolbox — CoVE Decision-Making Procedure Template</dc:description>
  <cp:lastModifiedBy>soulachaki</cp:lastModifiedBy>
  <cp:revision>4</cp:revision>
  <dcterms:created xsi:type="dcterms:W3CDTF">2026-09-23T09:13:00Z</dcterms:created>
  <dcterms:modified xsi:type="dcterms:W3CDTF">2026-09-25T09:41:00Z</dcterms:modified>
</cp:coreProperties>
</file>