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482" w:rsidRDefault="00533482">
      <w:bookmarkStart w:id="0" w:name="_GoBack"/>
      <w:bookmarkEnd w:id="0"/>
    </w:p>
    <w:p w:rsidR="00C03AC4" w:rsidRPr="00C03AC4" w:rsidRDefault="00C03AC4" w:rsidP="00C03AC4">
      <w:pPr>
        <w:framePr w:hSpace="180" w:wrap="around" w:vAnchor="text" w:hAnchor="text" w:y="1"/>
        <w:spacing w:after="120"/>
        <w:ind w:left="284" w:right="689"/>
        <w:suppressOverlap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b/>
          <w:bCs/>
          <w:color w:val="E1B723"/>
          <w:spacing w:val="20"/>
          <w:sz w:val="22"/>
          <w:szCs w:val="22"/>
          <w:lang w:val="en-US"/>
        </w:rPr>
        <w:t>PROYECTO TOURX — CAJA DE HERRAMIENTAS DE GOBERNANZA</w:t>
      </w:r>
    </w:p>
    <w:p w:rsidR="00C03AC4" w:rsidRPr="00C03AC4" w:rsidRDefault="00C03AC4" w:rsidP="00C03AC4">
      <w:pPr>
        <w:framePr w:hSpace="180" w:wrap="around" w:vAnchor="text" w:hAnchor="text" w:y="1"/>
        <w:spacing w:after="200"/>
        <w:ind w:left="284" w:right="689"/>
        <w:suppressOverlap/>
        <w:jc w:val="center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44"/>
          <w:szCs w:val="44"/>
          <w:lang w:val="en-US"/>
        </w:rPr>
        <w:t>Plantilla de procedimiento para la toma de decisiones de CoVE</w:t>
      </w:r>
    </w:p>
    <w:p w:rsidR="00C03AC4" w:rsidRDefault="00C03AC4" w:rsidP="00C03AC4">
      <w:pPr>
        <w:tabs>
          <w:tab w:val="left" w:pos="1140"/>
        </w:tabs>
        <w:ind w:left="284" w:right="689"/>
        <w:rPr>
          <w:rFonts w:ascii="Calibri" w:hAnsi="Calibri" w:cs="Calibri"/>
          <w:i/>
          <w:iCs/>
          <w:color w:val="000000" w:themeColor="text1"/>
          <w:sz w:val="22"/>
          <w:szCs w:val="22"/>
          <w:lang w:val="en-US"/>
        </w:rPr>
      </w:pPr>
    </w:p>
    <w:p w:rsidR="00C03AC4" w:rsidRPr="00C03AC4" w:rsidRDefault="00C03AC4" w:rsidP="00C0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tabs>
          <w:tab w:val="left" w:pos="1140"/>
        </w:tabs>
        <w:ind w:left="284" w:right="689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>Un procedimiento adaptable para que los Centros de Excelencia Vocacional (CVE) de terceros formalicen la manera en que se toman, aprueban, comunican y revisan las decisiones.</w:t>
      </w:r>
    </w:p>
    <w:p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</w:pPr>
    </w:p>
    <w:p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</w:pPr>
    </w:p>
    <w:p w:rsidR="00C03AC4" w:rsidRPr="0043714E" w:rsidRDefault="00C03AC4" w:rsidP="00C03AC4">
      <w:pPr>
        <w:pStyle w:val="Heading2"/>
        <w:keepNext/>
        <w:spacing w:before="240" w:after="120"/>
        <w:ind w:left="284" w:right="544"/>
        <w:rPr>
          <w:rFonts w:ascii="Calibri" w:hAnsi="Calibri" w:cs="Calibri"/>
          <w:color w:val="0FAFD5"/>
          <w:sz w:val="28"/>
          <w:szCs w:val="28"/>
          <w:lang w:val="en-US"/>
        </w:rPr>
      </w:pPr>
      <w:r w:rsidRPr="0043714E">
        <w:rPr>
          <w:rFonts w:ascii="Calibri" w:hAnsi="Calibri" w:cs="Calibri"/>
          <w:b/>
          <w:bCs/>
          <w:color w:val="0FAFD5"/>
          <w:sz w:val="28"/>
          <w:szCs w:val="28"/>
          <w:lang w:val="en-US"/>
        </w:rPr>
        <w:t>Cómo usar esta plantilla</w:t>
      </w:r>
    </w:p>
    <w:p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Trabaje en las seis secciones en orden; cada una se basa en la anterior (principios → categorías → proceso → cuerpos → comunicación → revisión).</w:t>
      </w:r>
    </w:p>
    <w:p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Adapte las categorías de decisión y los órganos responsables al Anexo anterior para que coincidan con la estructura de gobernanza real de su CoVE; los ejemplos proporcionados son un punto de partida realista, no un requisito fijo.</w:t>
      </w:r>
    </w:p>
    <w:p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Una vez completado, obtenga la aprobación formal del procedimiento por parte del órgano rector de su CoVE y registre dicha aprobación en la portada.</w:t>
      </w:r>
    </w:p>
    <w:p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Almacene la versión aprobada de forma centralizada y revísela en el intervalo establecido en la Sección 6 (Proceso de revisión).</w:t>
      </w:r>
    </w:p>
    <w:p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  <w:sectPr w:rsidR="00C03AC4" w:rsidRPr="00C03A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720" w:right="720" w:bottom="720" w:left="720" w:header="708" w:footer="708" w:gutter="0"/>
          <w:cols w:space="720"/>
          <w:docGrid w:linePitch="360"/>
        </w:sectPr>
      </w:pPr>
    </w:p>
    <w:p w:rsidR="00D95924" w:rsidRPr="00C03AC4" w:rsidRDefault="00A35D64" w:rsidP="00C03AC4">
      <w:pPr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lastRenderedPageBreak/>
        <w:t>1. Principios para la toma de decisiones</w:t>
      </w:r>
    </w:p>
    <w:p w:rsidR="00D95924" w:rsidRPr="00C03AC4" w:rsidRDefault="00A35D64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Los principios que se detallan a continuación deben guiar todas las decisiones que se tomen dentro del CoVE, independientemente de su categoría o tamaño.</w:t>
      </w:r>
    </w:p>
    <w:p w:rsidR="00D95924" w:rsidRPr="00C03AC4" w:rsidRDefault="00A35D6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Transparencia: las decisiones y los motivos que las sustentan se documentan y son accesibles para todo</w:t>
      </w:r>
      <w:r w:rsidRPr="00C03AC4">
        <w:rPr>
          <w:rFonts w:ascii="Calibri" w:hAnsi="Calibri" w:cs="Calibri"/>
          <w:color w:val="000000" w:themeColor="text1"/>
          <w:lang w:val="en-US"/>
        </w:rPr>
        <w:t>s los socios pertinentes.</w:t>
      </w:r>
    </w:p>
    <w:p w:rsidR="00D95924" w:rsidRPr="00C03AC4" w:rsidRDefault="00A35D6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Subsidiariedad: las decisiones se toman en el nivel más bajo competente para tomarlas, y solo se elevan cuando es necesario.</w:t>
      </w:r>
    </w:p>
    <w:p w:rsidR="00D95924" w:rsidRPr="00C03AC4" w:rsidRDefault="00A35D6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Inclusión: se consulta a los socios pertinentes y, cuando procede, a las partes interesadas externas ante</w:t>
      </w:r>
      <w:r w:rsidRPr="00C03AC4">
        <w:rPr>
          <w:rFonts w:ascii="Calibri" w:hAnsi="Calibri" w:cs="Calibri"/>
          <w:color w:val="000000" w:themeColor="text1"/>
          <w:lang w:val="en-US"/>
        </w:rPr>
        <w:t>s de tomar decisiones que les afecten.</w:t>
      </w:r>
    </w:p>
    <w:p w:rsidR="00D95924" w:rsidRPr="00C03AC4" w:rsidRDefault="00A35D6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Consenso en primer lugar, mayoría como último recurso: el Comité de Ética de la Comunidad busca el consenso; cuando no se puede alcanzar un consenso en un plazo razonable, se aplica un mecanismo de votación/aprobación definido.</w:t>
      </w:r>
    </w:p>
    <w:p w:rsidR="00D95924" w:rsidRPr="00C03AC4" w:rsidRDefault="00A35D6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 xml:space="preserve">Oportunidad: las decisiones </w:t>
      </w:r>
      <w:r w:rsidRPr="00C03AC4">
        <w:rPr>
          <w:rFonts w:ascii="Calibri" w:hAnsi="Calibri" w:cs="Calibri"/>
          <w:color w:val="000000" w:themeColor="text1"/>
          <w:lang w:val="en-US"/>
        </w:rPr>
        <w:t>se toman dentro de plazos que no obstaculizan las operaciones del CoVE ni los compromisos de sus socios.</w:t>
      </w:r>
    </w:p>
    <w:p w:rsidR="00D95924" w:rsidRPr="00C03AC4" w:rsidRDefault="00A35D6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Responsabilidad: cada decisión tiene un propietario y un organismo responsable claramente identificados.</w:t>
      </w:r>
    </w:p>
    <w:p w:rsidR="00D95924" w:rsidRPr="00C03AC4" w:rsidRDefault="00A35D6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Cumplimiento: las decisiones respetan los acue</w:t>
      </w:r>
      <w:r w:rsidRPr="00C03AC4">
        <w:rPr>
          <w:rFonts w:ascii="Calibri" w:hAnsi="Calibri" w:cs="Calibri"/>
          <w:color w:val="000000" w:themeColor="text1"/>
          <w:lang w:val="en-US"/>
        </w:rPr>
        <w:t>rdos fundacionales del CoVE, las normas de financiación de la UE y la legislación nacional/regional aplicable.</w:t>
      </w:r>
    </w:p>
    <w:p w:rsidR="00D95924" w:rsidRPr="00C03AC4" w:rsidRDefault="00A35D64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>[Añada o modifique los principios para que reflejen el acuerdo de asociación o el estatuto fundacional de su CoVE.]</w:t>
      </w:r>
    </w:p>
    <w:p w:rsidR="00D95924" w:rsidRPr="00C03AC4" w:rsidRDefault="00A35D6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2. Categorías de decisión</w:t>
      </w:r>
    </w:p>
    <w:p w:rsidR="00D95924" w:rsidRPr="00C03AC4" w:rsidRDefault="00A35D64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La 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clasificación de las decisiones por categoría aclara qué organismo es responsable y qué nivel de aprobación se requiere.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6"/>
        <w:gridCol w:w="2771"/>
        <w:gridCol w:w="2773"/>
        <w:gridCol w:w="1770"/>
      </w:tblGrid>
      <w:tr w:rsidR="00D95924" w:rsidRPr="00C03AC4">
        <w:trPr>
          <w:cantSplit/>
          <w:tblHeader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Categoría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Descripción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Ejemplos de decisiones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Umbral de aprobación</w:t>
            </w:r>
          </w:p>
        </w:tc>
      </w:tr>
      <w:tr w:rsidR="00D95924" w:rsidRPr="00465B4F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Estratégico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Decisiones que configuran la dirección, el alcance o la estructura de colaboración a largo plazo del CoVE.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Plan estratégico, admisión de nuevos socios, cambio de ámbito o misión.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Junta Directiva / Comité Directivo: mayoría cualificada o consenso.</w:t>
            </w:r>
          </w:p>
        </w:tc>
      </w:tr>
      <w:tr w:rsidR="00D95924" w:rsidRPr="00465B4F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Operacional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Decisiones de gestión cotidianas necesarias para llevar a cabo las actividades de CoVE.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Planificación de actividades, asignación de personal, pequeñas reasignaciones presupuestarias.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Coordinador/Socio principal, dentro de la autoridad delegada.</w:t>
            </w:r>
          </w:p>
        </w:tc>
      </w:tr>
      <w:tr w:rsidR="00D95924" w:rsidRPr="00465B4F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Financiero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Decisiones relacionadas con la asignación presupuestaria, el gasto o la financiación.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Aprobación del presupuesto anual, adquisiciones por encima de un umbral determinado, acuerdos de cofinanciación.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Junta Directiva / Comité Directivo, a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propuesta del Coordinador.</w:t>
            </w:r>
          </w:p>
        </w:tc>
      </w:tr>
      <w:tr w:rsidR="00D95924" w:rsidRPr="00465B4F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Asociación y Membresía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Decisiones sobre quién participa en el CoVE y bajo qué condiciones.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Admisión/salida de miembros de Knowledge Triangle, acuerdos de colaboración.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Junta Directiva / Comité Directivo: se prefiere el consenso.</w:t>
            </w:r>
          </w:p>
        </w:tc>
      </w:tr>
      <w:tr w:rsidR="00D95924" w:rsidRPr="00465B4F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Calidad y plan de estudios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Decisiones sobre el contenido de la formación, los estándares de calidad y la acreditación.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Actualizaciones curriculares, criterios de garantía de calidad, estándares de certificación.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Grupo de Trabajo sobre Calidad y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Currículo, ratificado por el Consejo Directivo.</w:t>
            </w:r>
          </w:p>
        </w:tc>
      </w:tr>
      <w:tr w:rsidR="00D95924" w:rsidRPr="00465B4F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Comunicación y difusión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Decisiones sobre comunicación externa, publicaciones y visibilidad.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Comunicados de prensa, publicación de resultados, participación en eventos externos.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Coordinador, en consulta con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el responsable de comunicación.</w:t>
            </w:r>
          </w:p>
        </w:tc>
      </w:tr>
    </w:tbl>
    <w:p w:rsidR="00D95924" w:rsidRPr="00C03AC4" w:rsidRDefault="00D95924">
      <w:pPr>
        <w:spacing w:before="160"/>
        <w:rPr>
          <w:rFonts w:ascii="Calibri" w:hAnsi="Calibri" w:cs="Calibri"/>
          <w:lang w:val="en-US"/>
        </w:rPr>
      </w:pPr>
    </w:p>
    <w:p w:rsidR="00D95924" w:rsidRPr="00C03AC4" w:rsidRDefault="00A35D64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>[Ajusta las categorías, los ejemplos y los umbrales para que coincidan con el modelo de gobernanza de tu CoVE.]</w:t>
      </w:r>
    </w:p>
    <w:p w:rsidR="00D95924" w:rsidRPr="00C03AC4" w:rsidRDefault="00A35D6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3. Proceso de aprobación</w:t>
      </w:r>
    </w:p>
    <w:p w:rsidR="00D95924" w:rsidRPr="00C03AC4" w:rsidRDefault="00A35D64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La secuencia estándar que se describe a continuación se aplica a todas las categorías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 de decisiones; los pasos 3 y 4 pueden acortarse para decisiones operativas de bajo riesgo.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50"/>
        <w:gridCol w:w="2400"/>
        <w:gridCol w:w="2400"/>
      </w:tblGrid>
      <w:tr w:rsidR="00D95924" w:rsidRPr="00C03AC4">
        <w:trPr>
          <w:cantSplit/>
          <w:tblHeader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Paso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Descripción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Responsable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Periodo de tiempo</w:t>
            </w:r>
          </w:p>
        </w:tc>
      </w:tr>
      <w:tr w:rsidR="00D95924" w:rsidRPr="00C03AC4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Propuesta presentada con la justificación correspondiente y, cuando proceda, las implicaciones presupuestarias o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 recursos.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>Socio proponente / Grupo de trabajo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Según sea necesario</w:t>
            </w:r>
          </w:p>
        </w:tc>
      </w:tr>
      <w:tr w:rsidR="00D95924" w:rsidRPr="00465B4F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Evaluación inicial para confirmar la categoría de decisión y la vía de aprobación adecuada.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Coordinador/Socio principal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>En un plazo de 5 días laborables</w:t>
            </w:r>
          </w:p>
        </w:tc>
      </w:tr>
      <w:tr w:rsidR="00D95924" w:rsidRPr="00C03AC4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Consulta con los socios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afectados y, cuando proceda, con las partes interesadas externas.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>Coordinador del Grupo de Trabajo correspondiente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[Insertar período de tiempo]</w:t>
            </w:r>
          </w:p>
        </w:tc>
      </w:tr>
      <w:tr w:rsidR="00D95924" w:rsidRPr="00465B4F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Discusión formal y votación/búsqueda de consenso en la reunión del organismo responsable.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Órgano responsable </w:t>
            </w: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>(véase la sección 4)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En la próxima reunión programada, o en sesión extraordinaria si es urgente</w:t>
            </w:r>
          </w:p>
        </w:tc>
      </w:tr>
      <w:tr w:rsidR="00D95924" w:rsidRPr="00465B4F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La decisión quedó registrada en actas, incluyendo el resultado, las opiniones disidentes y cualquier condición.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Secretaría / Receptor de actas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Dentro de los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5 días hábiles posteriores a la reunión.</w:t>
            </w:r>
          </w:p>
        </w:tc>
      </w:tr>
      <w:tr w:rsidR="00D95924" w:rsidRPr="00465B4F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Decisión comunicada a todos los socios y partes interesadas pertinentes (véase la Sección 5).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>Coordinador/a / Responsable de Comunicación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Dentro de los 10 días hábiles siguientes a la reunión.</w:t>
            </w:r>
          </w:p>
        </w:tc>
      </w:tr>
      <w:tr w:rsidR="00D95924" w:rsidRPr="00465B4F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Se inicia la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implementación, y el progreso se supervisa en función del objetivo establecido en la decisión.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>Responsable de la implementación asignado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Tal como se establece en la decisión</w:t>
            </w:r>
          </w:p>
        </w:tc>
      </w:tr>
    </w:tbl>
    <w:p w:rsidR="00D95924" w:rsidRPr="00C03AC4" w:rsidRDefault="00A35D64">
      <w:pPr>
        <w:spacing w:before="200" w:after="120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Decisiones urgentes/aceleradas</w:t>
      </w:r>
    </w:p>
    <w:p w:rsidR="00D95924" w:rsidRPr="00C03AC4" w:rsidRDefault="00A35D64">
      <w:pPr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Cuando una decisión no pueda esperar a la próxima reunión programada, el Coordinador podrá iniciar un procedimiento escrito acelerado (por ejemplo, por correo electrónico o votación en línea) entre los miembros del órgano responsable, sujeto a [insertar re</w:t>
      </w:r>
      <w:r w:rsidRPr="00C03AC4">
        <w:rPr>
          <w:rFonts w:ascii="Calibri" w:hAnsi="Calibri" w:cs="Calibri"/>
          <w:lang w:val="en-US"/>
        </w:rPr>
        <w:t>quisitos de quórum/notificación]. Todas las decisiones aceleradas deberán ser ratificadas en la siguiente reunión ordinaria.</w:t>
      </w:r>
    </w:p>
    <w:p w:rsidR="00D95924" w:rsidRPr="00C03AC4" w:rsidRDefault="00A35D6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4. Organismos responsables</w:t>
      </w:r>
    </w:p>
    <w:p w:rsidR="00D95924" w:rsidRPr="00C03AC4" w:rsidRDefault="00A35D64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La composición y el mandato de cada organismo deben confirmarse cotejándolos con el estatuto de gobernanza o el acuerdo de asociación de su CoVE.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4450"/>
      </w:tblGrid>
      <w:tr w:rsidR="00D95924" w:rsidRPr="00C03AC4"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Cuerpo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Composición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Categorías de mandato/decisión</w:t>
            </w:r>
          </w:p>
        </w:tc>
      </w:tr>
      <w:tr w:rsidR="00D95924" w:rsidRPr="00465B4F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Junta Directiva / Comité Directivo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Un representante por cada organización socia principal de CoVE; presidida por el Coordinador.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Decisiones estratégicas, financieras, de colaboración y de afiliación; aprobación final de las decisiones relativas a la calidad y el plan de estudios.</w:t>
            </w:r>
          </w:p>
        </w:tc>
      </w:tr>
      <w:tr w:rsidR="00D95924" w:rsidRPr="00465B4F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Coordinador/Socio principal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Organización coordinadora designada.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Decisiones operativas dentro de la autoridad delegada; representación diaria del CoVE.</w:t>
            </w:r>
          </w:p>
        </w:tc>
      </w:tr>
      <w:tr w:rsidR="00D95924" w:rsidRPr="00465B4F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Triángulo del conocimiento / Grupo regional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Proveedores de formación profesional, representantes del sector empresarial y autoridades públicas de una región determinada.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Decisiones de implementación regional y aportaciones a las decisiones sobre calidad, currículo y alianzas.</w:t>
            </w:r>
          </w:p>
        </w:tc>
      </w:tr>
      <w:tr w:rsidR="00D95924" w:rsidRPr="00465B4F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Grupos de trabajo / </w:t>
            </w:r>
            <w:r w:rsidRPr="00465B4F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Equipos de tarea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Expertos en la materia designados por los socios (por ejemplo, Calidad y Currículo, Comunicación).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Elabora recomendaciones y toma decisiones delegadas dentro de su mandato, sujetas a la ratificación del Consejo.</w:t>
            </w:r>
          </w:p>
        </w:tc>
      </w:tr>
      <w:tr w:rsidR="00D95924" w:rsidRPr="00465B4F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Asamblea General (si procede)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Todos los socios de CoVE y, cuando proceda, los miembros asociados.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Función consultiva; ratifica los cambios estratégicos o constitucionales importantes cuando así lo exija el acuerdo de asociación.</w:t>
            </w:r>
          </w:p>
        </w:tc>
      </w:tr>
    </w:tbl>
    <w:p w:rsidR="00D95924" w:rsidRPr="00C03AC4" w:rsidRDefault="00D95924">
      <w:pPr>
        <w:spacing w:before="160"/>
        <w:rPr>
          <w:rFonts w:ascii="Calibri" w:hAnsi="Calibri" w:cs="Calibri"/>
          <w:lang w:val="en-US"/>
        </w:rPr>
      </w:pPr>
    </w:p>
    <w:p w:rsidR="00D95924" w:rsidRPr="00C03AC4" w:rsidRDefault="00A35D64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[Cambie el nombre de los </w:t>
      </w:r>
      <w:r w:rsidRPr="00C03AC4">
        <w:rPr>
          <w:rFonts w:ascii="Calibri" w:hAnsi="Calibri" w:cs="Calibri"/>
          <w:i/>
          <w:iCs/>
          <w:color w:val="8A6300"/>
          <w:lang w:val="en-US"/>
        </w:rPr>
        <w:t>cuerpos o agregue/elimine filas para que coincidan con la estructura de gobernanza real de su CoVE.]</w:t>
      </w:r>
    </w:p>
    <w:p w:rsidR="00D95924" w:rsidRPr="00C03AC4" w:rsidRDefault="00A35D6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5. Comunicación de decisiones</w:t>
      </w:r>
    </w:p>
    <w:p w:rsidR="00D95924" w:rsidRPr="00C03AC4" w:rsidRDefault="00A35D64">
      <w:pPr>
        <w:spacing w:after="20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595959"/>
          <w:lang w:val="en-US"/>
        </w:rPr>
        <w:t>Las decisiones deben comunicarse de forma proporcional a a quiénes afectan y a su repercusión pública.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2200"/>
        <w:gridCol w:w="2250"/>
      </w:tblGrid>
      <w:tr w:rsidR="00D95924" w:rsidRPr="00C03AC4"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Audiencia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Canal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Respon</w:t>
            </w: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sable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Periodo de tiempo</w:t>
            </w:r>
          </w:p>
        </w:tc>
      </w:tr>
      <w:tr w:rsidR="00D95924" w:rsidRPr="00465B4F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Socios principales de CoVE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>Actas de la reunión, circular por correo electrónico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Coordinador/Secretaría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>En un plazo de 10 días laborables</w:t>
            </w:r>
          </w:p>
        </w:tc>
      </w:tr>
      <w:tr w:rsidR="00D95924" w:rsidRPr="00465B4F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Miembros del Triángulo del Conocimiento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Informe regional, boletín informativo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 xml:space="preserve">Coordinador 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regional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sz w:val="20"/>
                <w:szCs w:val="20"/>
                <w:lang w:val="en-US"/>
              </w:rPr>
              <w:t>En un plazo de 2 semanas</w:t>
            </w:r>
          </w:p>
        </w:tc>
      </w:tr>
      <w:tr w:rsidR="00D95924" w:rsidRPr="00465B4F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465B4F" w:rsidRDefault="00A35D64">
            <w:pPr>
              <w:rPr>
                <w:rFonts w:ascii="Calibri" w:hAnsi="Calibri" w:cs="Calibri"/>
                <w:lang w:val="en-US"/>
              </w:rPr>
            </w:pPr>
            <w:r w:rsidRPr="00465B4F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Red de partes interesadas más amplia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Actualización del sitio web, boletín informativo, redes sociales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Responsable de comunicación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En un plazo de 4 semanas, donde la decisión sea de cara al público.</w:t>
            </w:r>
          </w:p>
        </w:tc>
      </w:tr>
      <w:tr w:rsidR="00D95924" w:rsidRPr="00465B4F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Organismo financiador 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/ EACEA (si procede)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Canal de denuncia formal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Coordinador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Según lo estipulado en los plazos de presentación de informes del acuerdo de subvención.</w:t>
            </w:r>
          </w:p>
        </w:tc>
      </w:tr>
    </w:tbl>
    <w:p w:rsidR="00D95924" w:rsidRPr="00C03AC4" w:rsidRDefault="00A35D64">
      <w:pPr>
        <w:spacing w:before="200" w:after="12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lang w:val="en-US"/>
        </w:rPr>
        <w:lastRenderedPageBreak/>
        <w:t>Contenido mínimo de una comunicación de decisión</w:t>
      </w:r>
    </w:p>
    <w:p w:rsidR="00D95924" w:rsidRPr="00C03AC4" w:rsidRDefault="00A35D64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¿Qué se decidió y por qué?</w:t>
      </w:r>
    </w:p>
    <w:p w:rsidR="00D95924" w:rsidRPr="00C03AC4" w:rsidRDefault="00A35D64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Quién tomó la decisión y cuándo.</w:t>
      </w:r>
    </w:p>
    <w:p w:rsidR="00D95924" w:rsidRPr="00C03AC4" w:rsidRDefault="00A35D64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¿Quién es el responsable de la implementación y para cuándo?</w:t>
      </w:r>
    </w:p>
    <w:p w:rsidR="00D95924" w:rsidRPr="00C03AC4" w:rsidRDefault="00A35D64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Dónde se puede encontrar el expediente completo (actas, documentos justificativos).</w:t>
      </w:r>
    </w:p>
    <w:p w:rsidR="00D95924" w:rsidRPr="00C03AC4" w:rsidRDefault="00A35D6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6. Proceso de revisión</w:t>
      </w:r>
    </w:p>
    <w:p w:rsidR="00D95924" w:rsidRPr="00C03AC4" w:rsidRDefault="00A35D64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Este procedimiento deberá revisarse periódicamente para garantizar que siga reflejando 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el funcionamiento real del CoVE.</w:t>
      </w:r>
    </w:p>
    <w:p w:rsidR="00D95924" w:rsidRPr="00C03AC4" w:rsidRDefault="00A35D6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Revisión programada: el Consejo de Administración revisa este procedimiento al menos una vez cada [insertar intervalo, por ejemplo, 12 meses], o al comienzo de cada nueva fase del proyecto.</w:t>
      </w:r>
    </w:p>
    <w:p w:rsidR="00D95924" w:rsidRPr="00C03AC4" w:rsidRDefault="00A35D6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 xml:space="preserve">Revisión desencadenada: también </w:t>
      </w:r>
      <w:r w:rsidRPr="00C03AC4">
        <w:rPr>
          <w:rFonts w:ascii="Calibri" w:hAnsi="Calibri" w:cs="Calibri"/>
          <w:lang w:val="en-US"/>
        </w:rPr>
        <w:t>se inicia una revisión si: la estructura de la asociación cambia sustancialmente; un cuello de botella o conflicto en la toma de decisiones revela una laguna en el procedimiento; o cambian los requisitos de financiación o reglamentarios.</w:t>
      </w:r>
    </w:p>
    <w:p w:rsidR="00D95924" w:rsidRPr="00C03AC4" w:rsidRDefault="00A35D6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Propuesta de enmie</w:t>
      </w:r>
      <w:r w:rsidRPr="00C03AC4">
        <w:rPr>
          <w:rFonts w:ascii="Calibri" w:hAnsi="Calibri" w:cs="Calibri"/>
          <w:lang w:val="en-US"/>
        </w:rPr>
        <w:t>nda: cualquier socio puede proponer una enmienda, que deberá presentarse por escrito al Coordinador, junto con la justificación correspondiente.</w:t>
      </w:r>
    </w:p>
    <w:p w:rsidR="00D95924" w:rsidRPr="00C03AC4" w:rsidRDefault="00A35D6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Aprobación de enmiendas: las enmiendas siguen el mismo procedimiento de aprobación que las decisiones estratégi</w:t>
      </w:r>
      <w:r w:rsidRPr="00C03AC4">
        <w:rPr>
          <w:rFonts w:ascii="Calibri" w:hAnsi="Calibri" w:cs="Calibri"/>
          <w:lang w:val="en-US"/>
        </w:rPr>
        <w:t>cas (véanse las secciones 2 y 3).</w:t>
      </w:r>
    </w:p>
    <w:p w:rsidR="00D95924" w:rsidRPr="00C03AC4" w:rsidRDefault="00A35D6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Control de versiones: cada versión aprobada se registra en la tabla que aparece a continuación y las versiones sustituidas se archivan, no se eliminan.</w:t>
      </w:r>
    </w:p>
    <w:p w:rsidR="00D95924" w:rsidRPr="00C03AC4" w:rsidRDefault="00A35D64">
      <w:pPr>
        <w:spacing w:before="200" w:after="120"/>
        <w:rPr>
          <w:rFonts w:ascii="Calibri" w:hAnsi="Calibri" w:cs="Calibri"/>
          <w:color w:val="0FAFD5"/>
        </w:rPr>
      </w:pPr>
      <w:r w:rsidRPr="00C03AC4">
        <w:rPr>
          <w:rFonts w:ascii="Calibri" w:hAnsi="Calibri" w:cs="Calibri"/>
          <w:b/>
          <w:bCs/>
          <w:color w:val="0FAFD5"/>
        </w:rPr>
        <w:t>Registro de versiones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800"/>
        <w:gridCol w:w="3050"/>
        <w:gridCol w:w="3100"/>
      </w:tblGrid>
      <w:tr w:rsidR="00D95924" w:rsidRPr="00C03AC4">
        <w:trPr>
          <w:cantSplit/>
          <w:tblHeader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Versión</w:t>
            </w: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Resumen de cambios</w:t>
            </w: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Aprobado por</w:t>
            </w:r>
          </w:p>
        </w:tc>
      </w:tr>
      <w:tr w:rsidR="00D95924" w:rsidRPr="00C03AC4"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v1.0</w:t>
            </w: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[Insertar fecha]</w:t>
            </w: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Versión inicial aprobada.</w:t>
            </w: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A35D6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[Insertar organismo responsable]</w:t>
            </w:r>
          </w:p>
        </w:tc>
      </w:tr>
      <w:tr w:rsidR="00D95924" w:rsidRPr="00C03AC4"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  <w:tr w:rsidR="00D95924" w:rsidRPr="00C03AC4"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8"/>
          <w:szCs w:val="28"/>
          <w:lang w:val="en-US"/>
        </w:rPr>
      </w:pPr>
      <w:r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  <w:lang w:val="en-US"/>
        </w:rPr>
        <w:br/>
      </w:r>
      <w:r w:rsidRPr="0043714E">
        <w:rPr>
          <w:rFonts w:ascii="Calibri" w:hAnsi="Calibri" w:cs="Calibri"/>
          <w:b/>
          <w:bCs/>
          <w:i/>
          <w:iCs/>
          <w:sz w:val="22"/>
          <w:szCs w:val="22"/>
          <w:u w:val="single"/>
          <w:lang w:val="en-US"/>
        </w:rPr>
        <w:t>ANEXO:</w:t>
      </w:r>
      <w:r w:rsidRPr="0043714E">
        <w:rPr>
          <w:rFonts w:ascii="Calibri" w:hAnsi="Calibri" w:cs="Calibri"/>
          <w:i/>
          <w:iCs/>
          <w:sz w:val="20"/>
          <w:szCs w:val="20"/>
          <w:u w:val="single"/>
          <w:lang w:val="en-US"/>
        </w:rPr>
        <w:t xml:space="preserve"> </w:t>
      </w:r>
      <w:r w:rsidRPr="0043714E">
        <w:rPr>
          <w:rFonts w:ascii="Calibri" w:hAnsi="Calibri" w:cs="Calibri"/>
          <w:i/>
          <w:iCs/>
          <w:u w:val="single"/>
          <w:lang w:val="en-US"/>
        </w:rPr>
        <w:br/>
      </w:r>
      <w:r w:rsidRPr="0043714E">
        <w:rPr>
          <w:rFonts w:ascii="Calibri" w:hAnsi="Calibri" w:cs="Calibri"/>
          <w:i/>
          <w:iCs/>
          <w:u w:val="single"/>
          <w:lang w:val="en-US"/>
        </w:rPr>
        <w:br/>
      </w:r>
      <w:r w:rsidRPr="0043714E">
        <w:rPr>
          <w:rFonts w:ascii="Calibri" w:hAnsi="Calibri" w:cs="Calibri"/>
          <w:b/>
          <w:color w:val="0FAFD5"/>
          <w:sz w:val="28"/>
          <w:szCs w:val="28"/>
          <w:lang w:val="en-US"/>
        </w:rPr>
        <w:t>Plantilla de procedimiento para la toma de decisiones de CoVE</w:t>
      </w:r>
    </w:p>
    <w:p w:rsidR="0043714E" w:rsidRPr="0043714E" w:rsidRDefault="0043714E" w:rsidP="0043714E">
      <w:pPr>
        <w:rPr>
          <w:rFonts w:ascii="Calibri" w:hAnsi="Calibri" w:cs="Calibri"/>
          <w:sz w:val="20"/>
          <w:szCs w:val="20"/>
          <w:lang w:val="en-US"/>
        </w:rPr>
      </w:pPr>
    </w:p>
    <w:p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  <w:t>Una plantilla práctica para definir, gestionar y documentar los procesos de toma de decisiones dentro de un Centro de Excelencia Vocacional (CdV).</w:t>
      </w:r>
    </w:p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>1 Información de CoVE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21"/>
        <w:gridCol w:w="4496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Campo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Información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Nombre del CoVE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Región / País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65B4F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Organización que lidera el CoVE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Persona de contacto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Correo electrónico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Versión / Fecha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:rsidR="0043714E" w:rsidRPr="00465B4F" w:rsidRDefault="0043714E" w:rsidP="0043714E">
      <w:pPr>
        <w:rPr>
          <w:rFonts w:ascii="Calibri" w:hAnsi="Calibri" w:cs="Calibri"/>
          <w:color w:val="0FAFD5"/>
          <w:sz w:val="20"/>
          <w:szCs w:val="20"/>
          <w:lang w:val="en-US"/>
        </w:rPr>
      </w:pPr>
      <w:r w:rsidRPr="00465B4F">
        <w:rPr>
          <w:rFonts w:ascii="Calibri" w:hAnsi="Calibri" w:cs="Calibri"/>
          <w:b/>
          <w:color w:val="0FAFD5"/>
          <w:sz w:val="24"/>
          <w:szCs w:val="20"/>
          <w:lang w:val="en-US"/>
        </w:rPr>
        <w:t>2 Principios para la toma de decisiones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63"/>
        <w:gridCol w:w="4354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Principio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Solicitud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Transparencia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65B4F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Participación de las partes interesadas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Responsabilidad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65B4F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Decisiones basadas en la evidencia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Creación de consenso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65B4F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Alineación con los objetivos de CoVE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color w:val="0FAFD5"/>
          <w:sz w:val="24"/>
          <w:szCs w:val="20"/>
          <w:lang w:val="en-US"/>
        </w:rPr>
        <w:t>3. Órganos de gobierno y autoridad decisoria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48"/>
        <w:gridCol w:w="3048"/>
        <w:gridCol w:w="2921"/>
      </w:tblGrid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Órgano de gobierno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Role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Miembros</w:t>
            </w: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Comité Directivo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Decisiones estratégicas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Equipo de Coordinación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Coordinación operativa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Grupos de trabajo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Decisiones temáticas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Otro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Especificar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>4 categorías de decisión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87"/>
        <w:gridCol w:w="3029"/>
        <w:gridCol w:w="3001"/>
      </w:tblGrid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Categoría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Ejemplos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Órgano responsable</w:t>
            </w: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Estratégico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Objetivos, alianzas, prioridades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Operacional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Actividades y coordinación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Financiero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Presupuesto y recursos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Formación y habilidades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Prioridades de capacitación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  <w:r w:rsidRPr="00465B4F">
        <w:rPr>
          <w:rFonts w:ascii="Calibri" w:hAnsi="Calibri" w:cs="Calibri"/>
          <w:b/>
          <w:color w:val="0FAFD5"/>
          <w:sz w:val="24"/>
          <w:szCs w:val="20"/>
          <w:lang w:val="en-US"/>
        </w:rPr>
        <w:t>5. Flujo de trabajo para la toma de decisiones</w:t>
      </w: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en-US"/>
        </w:rPr>
      </w:pPr>
    </w:p>
    <w:p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Identificar la decisión → Preparar la propuesta → Consultar a las partes interesadas → Evaluar y aprobar → Comunicar la decisión → Implementar la acción → Revisar los resultados</w:t>
      </w:r>
    </w:p>
    <w:p w:rsidR="0043714E" w:rsidRPr="0043714E" w:rsidRDefault="0043714E" w:rsidP="0043714E">
      <w:pPr>
        <w:rPr>
          <w:rFonts w:ascii="Calibri" w:hAnsi="Calibri" w:cs="Calibri"/>
          <w:sz w:val="20"/>
          <w:szCs w:val="20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76"/>
        <w:gridCol w:w="4541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Paso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Salida clave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1. Identificar la decisión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Decisión identificada y registrada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2. Preparar la propuesta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Propuesta de decisión preparada</w:t>
            </w:r>
          </w:p>
        </w:tc>
      </w:tr>
      <w:tr w:rsidR="0043714E" w:rsidRPr="00465B4F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3. Consultar a las partes interesadas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Se recopilaron las opiniones de las partes interesadas.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4. Evaluar y aprobar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Decisión aprobada o revisada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5. Comunicar la decisión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Decisión comunicada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6. Implementar acciones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Decisión implementada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7. Revisión de resultados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Lecciones aprendidas identificadas</w:t>
            </w: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>6 Formulario de solicitud de decisión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6"/>
        <w:gridCol w:w="4501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Campo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Información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Título de la decisión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Enviado por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Problema / Oportunidad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Solución propuesta / Opciones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Partes interesadas consultadas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Impacto previsto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Órgano de aprobación requerido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>7 Criterios de aprobación de decisiones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54"/>
        <w:gridCol w:w="4463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Criterios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Descripción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Relevancia estratégica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Factibilidad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65B4F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Impacto en las partes interesadas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Sostenibilidad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Evaluación de riesgos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>8 Registro de decisiones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93"/>
        <w:gridCol w:w="1735"/>
        <w:gridCol w:w="1930"/>
        <w:gridCol w:w="1817"/>
        <w:gridCol w:w="1942"/>
      </w:tblGrid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Decisión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Órgano responsable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Resultado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Hacer un seguimiento</w:t>
            </w:r>
          </w:p>
        </w:tc>
      </w:tr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>9. Comunicación y documentación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8"/>
        <w:gridCol w:w="2180"/>
        <w:gridCol w:w="2368"/>
        <w:gridCol w:w="2301"/>
      </w:tblGrid>
      <w:tr w:rsidR="0043714E" w:rsidRPr="0043714E" w:rsidTr="00E72BF7">
        <w:trPr>
          <w:jc w:val="center"/>
        </w:trPr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Método</w:t>
            </w: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Grupo objetivo</w:t>
            </w: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Persona responsable</w:t>
            </w: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Frecuencia</w:t>
            </w:r>
          </w:p>
        </w:tc>
      </w:tr>
      <w:tr w:rsidR="0043714E" w:rsidRPr="0043714E" w:rsidTr="00E72BF7">
        <w:trPr>
          <w:jc w:val="center"/>
        </w:trPr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>10. Validación y aprobación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41"/>
        <w:gridCol w:w="2075"/>
        <w:gridCol w:w="1658"/>
        <w:gridCol w:w="1724"/>
        <w:gridCol w:w="1719"/>
      </w:tblGrid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Nombre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Organización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Role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Firma</w:t>
            </w:r>
          </w:p>
        </w:tc>
      </w:tr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Pr="0043714E" w:rsidRDefault="0043714E" w:rsidP="0043714E">
      <w:pPr>
        <w:rPr>
          <w:rFonts w:ascii="Calibri" w:hAnsi="Calibri" w:cs="Calibri"/>
          <w:sz w:val="20"/>
          <w:szCs w:val="20"/>
        </w:rPr>
      </w:pPr>
    </w:p>
    <w:p w:rsidR="00035D84" w:rsidRPr="0043714E" w:rsidRDefault="00035D84">
      <w:pPr>
        <w:rPr>
          <w:rFonts w:ascii="Calibri" w:hAnsi="Calibri" w:cs="Calibri"/>
          <w:sz w:val="20"/>
          <w:szCs w:val="20"/>
          <w:lang w:val="en-US"/>
        </w:rPr>
      </w:pPr>
    </w:p>
    <w:sectPr w:rsidR="00035D84" w:rsidRPr="0043714E">
      <w:headerReference w:type="default" r:id="rId13"/>
      <w:footerReference w:type="default" r:id="rId14"/>
      <w:pgSz w:w="11907" w:h="16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D64" w:rsidRDefault="00A35D64">
      <w:r>
        <w:separator/>
      </w:r>
    </w:p>
  </w:endnote>
  <w:endnote w:type="continuationSeparator" w:id="0">
    <w:p w:rsidR="00A35D64" w:rsidRDefault="00A35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Default="004E4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Pr="004E4A25" w:rsidRDefault="004E4A25" w:rsidP="004E4A25">
    <w:pPr>
      <w:pStyle w:val="BodyText"/>
      <w:spacing w:line="252" w:lineRule="auto"/>
      <w:ind w:left="3828" w:right="544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61312" behindDoc="0" locked="0" layoutInCell="1" allowOverlap="1" wp14:anchorId="516AAC46" wp14:editId="3E932484">
          <wp:simplePos x="0" y="0"/>
          <wp:positionH relativeFrom="margin">
            <wp:posOffset>95250</wp:posOffset>
          </wp:positionH>
          <wp:positionV relativeFrom="bottomMargin">
            <wp:posOffset>11430</wp:posOffset>
          </wp:positionV>
          <wp:extent cx="2009775" cy="421005"/>
          <wp:effectExtent l="0" t="0" r="9525" b="0"/>
          <wp:wrapSquare wrapText="bothSides"/>
          <wp:docPr id="9347593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>Financiado por</w:t>
    </w:r>
    <w:r w:rsidRPr="00455F5E">
      <w:rPr>
        <w:rFonts w:asciiTheme="majorHAnsi" w:hAnsiTheme="majorHAnsi" w:cstheme="majorHAnsi"/>
        <w:sz w:val="16"/>
        <w:szCs w:val="16"/>
      </w:rPr>
      <w:t>La Unión Europea. Las opiniones expresadas son, sin embargo, responsabilidad exclusiva del autor o autores y no reflejan necesariamente las de la Unión Europea ni las de la Agencia Ejecutiva Europea de Educación y Cultura (EACEA). Ni la Unión Europea ni la entidad financiadora se hacen responsables de ellas.</w:t>
    </w:r>
  </w:p>
  <w:p w:rsidR="004E4A25" w:rsidRPr="004E4A25" w:rsidRDefault="004E4A25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Default="004E4A2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C4" w:rsidRPr="00C03AC4" w:rsidRDefault="00C03AC4" w:rsidP="00C03AC4">
    <w:pPr>
      <w:pStyle w:val="BodyText"/>
      <w:spacing w:line="252" w:lineRule="auto"/>
      <w:ind w:left="3544" w:right="96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9264" behindDoc="0" locked="0" layoutInCell="1" allowOverlap="1" wp14:anchorId="112E1A58" wp14:editId="79F71152">
          <wp:simplePos x="0" y="0"/>
          <wp:positionH relativeFrom="margin">
            <wp:align>left</wp:align>
          </wp:positionH>
          <wp:positionV relativeFrom="bottomMargin">
            <wp:posOffset>14605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>Financiado por</w:t>
    </w:r>
    <w:r w:rsidRPr="00455F5E">
      <w:rPr>
        <w:rFonts w:asciiTheme="majorHAnsi" w:hAnsiTheme="majorHAnsi" w:cstheme="majorHAnsi"/>
        <w:sz w:val="16"/>
        <w:szCs w:val="16"/>
      </w:rPr>
      <w:t>La Unión Europea. Las opiniones expresadas son, sin embargo, responsabilidad exclusiva del autor o autores y no reflejan necesariamente las de la Unión Europea ni las de la Agencia Ejecutiva Europea de Educación y Cultura (EACEA). Ni la Unión Europea ni la entidad financiadora se hacen responsables de ellas.</w:t>
    </w:r>
  </w:p>
  <w:p w:rsidR="00D95924" w:rsidRPr="00C03AC4" w:rsidRDefault="00D95924">
    <w:pPr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D64" w:rsidRDefault="00A35D64">
      <w:r>
        <w:separator/>
      </w:r>
    </w:p>
  </w:footnote>
  <w:footnote w:type="continuationSeparator" w:id="0">
    <w:p w:rsidR="00A35D64" w:rsidRDefault="00A35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Default="004E4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C4" w:rsidRPr="00C03AC4" w:rsidRDefault="00C03AC4">
    <w:pPr>
      <w:pStyle w:val="Header"/>
      <w:rPr>
        <w:lang w:val="en-US"/>
      </w:rPr>
    </w:pPr>
    <w:r>
      <w:rPr>
        <w:noProof/>
        <w:lang w:val="en-US" w:eastAsia="en-US"/>
      </w:rPr>
      <w:drawing>
        <wp:inline distT="0" distB="0" distL="0" distR="0" wp14:anchorId="4BC23CC1" wp14:editId="75A18596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Default="004E4A2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924" w:rsidRPr="00C03AC4" w:rsidRDefault="00C03AC4" w:rsidP="00C03AC4">
    <w:pPr>
      <w:pStyle w:val="Header"/>
      <w:rPr>
        <w:lang w:val="en-US"/>
      </w:rPr>
    </w:pPr>
    <w:r>
      <w:rPr>
        <w:noProof/>
        <w:lang w:val="en-US" w:eastAsia="en-US"/>
      </w:rPr>
      <w:drawing>
        <wp:inline distT="0" distB="0" distL="0" distR="0" wp14:anchorId="0CEACD89" wp14:editId="26DBCA20">
          <wp:extent cx="1097280" cy="1097280"/>
          <wp:effectExtent l="0" t="0" r="0" b="0"/>
          <wp:docPr id="1939623821" name="Picture 1939623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A61"/>
    <w:multiLevelType w:val="hybridMultilevel"/>
    <w:tmpl w:val="7D5482D4"/>
    <w:lvl w:ilvl="0" w:tplc="76CE491E">
      <w:start w:val="1"/>
      <w:numFmt w:val="bullet"/>
      <w:lvlText w:val="●"/>
      <w:lvlJc w:val="left"/>
      <w:pPr>
        <w:ind w:left="720" w:hanging="360"/>
      </w:pPr>
    </w:lvl>
    <w:lvl w:ilvl="1" w:tplc="90BAAF20">
      <w:start w:val="1"/>
      <w:numFmt w:val="bullet"/>
      <w:lvlText w:val="○"/>
      <w:lvlJc w:val="left"/>
      <w:pPr>
        <w:ind w:left="1440" w:hanging="360"/>
      </w:pPr>
    </w:lvl>
    <w:lvl w:ilvl="2" w:tplc="E626E6EA">
      <w:start w:val="1"/>
      <w:numFmt w:val="bullet"/>
      <w:lvlText w:val="■"/>
      <w:lvlJc w:val="left"/>
      <w:pPr>
        <w:ind w:left="2160" w:hanging="360"/>
      </w:pPr>
    </w:lvl>
    <w:lvl w:ilvl="3" w:tplc="64C0A4F8">
      <w:start w:val="1"/>
      <w:numFmt w:val="bullet"/>
      <w:lvlText w:val="●"/>
      <w:lvlJc w:val="left"/>
      <w:pPr>
        <w:ind w:left="2880" w:hanging="360"/>
      </w:pPr>
    </w:lvl>
    <w:lvl w:ilvl="4" w:tplc="57CEF536">
      <w:start w:val="1"/>
      <w:numFmt w:val="bullet"/>
      <w:lvlText w:val="○"/>
      <w:lvlJc w:val="left"/>
      <w:pPr>
        <w:ind w:left="3600" w:hanging="360"/>
      </w:pPr>
    </w:lvl>
    <w:lvl w:ilvl="5" w:tplc="C0F404C0">
      <w:start w:val="1"/>
      <w:numFmt w:val="bullet"/>
      <w:lvlText w:val="■"/>
      <w:lvlJc w:val="left"/>
      <w:pPr>
        <w:ind w:left="4320" w:hanging="360"/>
      </w:pPr>
    </w:lvl>
    <w:lvl w:ilvl="6" w:tplc="B4EAF658">
      <w:start w:val="1"/>
      <w:numFmt w:val="bullet"/>
      <w:lvlText w:val="●"/>
      <w:lvlJc w:val="left"/>
      <w:pPr>
        <w:ind w:left="5040" w:hanging="360"/>
      </w:pPr>
    </w:lvl>
    <w:lvl w:ilvl="7" w:tplc="23B8A3B4">
      <w:start w:val="1"/>
      <w:numFmt w:val="bullet"/>
      <w:lvlText w:val="●"/>
      <w:lvlJc w:val="left"/>
      <w:pPr>
        <w:ind w:left="5760" w:hanging="360"/>
      </w:pPr>
    </w:lvl>
    <w:lvl w:ilvl="8" w:tplc="AF3881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9C614D9"/>
    <w:multiLevelType w:val="hybridMultilevel"/>
    <w:tmpl w:val="DD16347C"/>
    <w:lvl w:ilvl="0" w:tplc="F25423F0">
      <w:start w:val="1"/>
      <w:numFmt w:val="bullet"/>
      <w:lvlText w:val="•"/>
      <w:lvlJc w:val="left"/>
      <w:pPr>
        <w:ind w:left="420" w:hanging="260"/>
      </w:pPr>
    </w:lvl>
    <w:lvl w:ilvl="1" w:tplc="233042AC">
      <w:start w:val="1"/>
      <w:numFmt w:val="bullet"/>
      <w:lvlText w:val="◦"/>
      <w:lvlJc w:val="left"/>
      <w:pPr>
        <w:ind w:left="840" w:hanging="260"/>
      </w:pPr>
    </w:lvl>
    <w:lvl w:ilvl="2" w:tplc="34DA1A5C">
      <w:numFmt w:val="decimal"/>
      <w:lvlText w:val=""/>
      <w:lvlJc w:val="left"/>
    </w:lvl>
    <w:lvl w:ilvl="3" w:tplc="85FA4240">
      <w:numFmt w:val="decimal"/>
      <w:lvlText w:val=""/>
      <w:lvlJc w:val="left"/>
    </w:lvl>
    <w:lvl w:ilvl="4" w:tplc="0DEEC736">
      <w:numFmt w:val="decimal"/>
      <w:lvlText w:val=""/>
      <w:lvlJc w:val="left"/>
    </w:lvl>
    <w:lvl w:ilvl="5" w:tplc="F454DECE">
      <w:numFmt w:val="decimal"/>
      <w:lvlText w:val=""/>
      <w:lvlJc w:val="left"/>
    </w:lvl>
    <w:lvl w:ilvl="6" w:tplc="10529360">
      <w:numFmt w:val="decimal"/>
      <w:lvlText w:val=""/>
      <w:lvlJc w:val="left"/>
    </w:lvl>
    <w:lvl w:ilvl="7" w:tplc="5B702D14">
      <w:numFmt w:val="decimal"/>
      <w:lvlText w:val=""/>
      <w:lvlJc w:val="left"/>
    </w:lvl>
    <w:lvl w:ilvl="8" w:tplc="A5E6FC6A">
      <w:numFmt w:val="decimal"/>
      <w:lvlText w:val=""/>
      <w:lvlJc w:val="left"/>
    </w:lvl>
  </w:abstractNum>
  <w:abstractNum w:abstractNumId="2" w15:restartNumberingAfterBreak="0">
    <w:nsid w:val="165B641E"/>
    <w:multiLevelType w:val="hybridMultilevel"/>
    <w:tmpl w:val="2228DC5C"/>
    <w:lvl w:ilvl="0" w:tplc="70E2158E">
      <w:start w:val="1"/>
      <w:numFmt w:val="decimal"/>
      <w:lvlText w:val="%1."/>
      <w:lvlJc w:val="left"/>
      <w:pPr>
        <w:ind w:left="420" w:hanging="260"/>
      </w:pPr>
    </w:lvl>
    <w:lvl w:ilvl="1" w:tplc="4858D212">
      <w:numFmt w:val="decimal"/>
      <w:lvlText w:val=""/>
      <w:lvlJc w:val="left"/>
    </w:lvl>
    <w:lvl w:ilvl="2" w:tplc="B5227818">
      <w:numFmt w:val="decimal"/>
      <w:lvlText w:val=""/>
      <w:lvlJc w:val="left"/>
    </w:lvl>
    <w:lvl w:ilvl="3" w:tplc="CD2A39FA">
      <w:numFmt w:val="decimal"/>
      <w:lvlText w:val=""/>
      <w:lvlJc w:val="left"/>
    </w:lvl>
    <w:lvl w:ilvl="4" w:tplc="9CD87AAE">
      <w:numFmt w:val="decimal"/>
      <w:lvlText w:val=""/>
      <w:lvlJc w:val="left"/>
    </w:lvl>
    <w:lvl w:ilvl="5" w:tplc="D2D84AC6">
      <w:numFmt w:val="decimal"/>
      <w:lvlText w:val=""/>
      <w:lvlJc w:val="left"/>
    </w:lvl>
    <w:lvl w:ilvl="6" w:tplc="E4F07B10">
      <w:numFmt w:val="decimal"/>
      <w:lvlText w:val=""/>
      <w:lvlJc w:val="left"/>
    </w:lvl>
    <w:lvl w:ilvl="7" w:tplc="B2F2A530">
      <w:numFmt w:val="decimal"/>
      <w:lvlText w:val=""/>
      <w:lvlJc w:val="left"/>
    </w:lvl>
    <w:lvl w:ilvl="8" w:tplc="C05C22EE">
      <w:numFmt w:val="decimal"/>
      <w:lvlText w:val=""/>
      <w:lvlJc w:val="left"/>
    </w:lvl>
  </w:abstractNum>
  <w:abstractNum w:abstractNumId="3" w15:restartNumberingAfterBreak="0">
    <w:nsid w:val="737D417B"/>
    <w:multiLevelType w:val="hybridMultilevel"/>
    <w:tmpl w:val="9D160196"/>
    <w:lvl w:ilvl="0" w:tplc="26D63C20">
      <w:start w:val="1"/>
      <w:numFmt w:val="decimal"/>
      <w:lvlText w:val="%1."/>
      <w:lvlJc w:val="left"/>
      <w:pPr>
        <w:ind w:left="420" w:hanging="260"/>
      </w:pPr>
    </w:lvl>
    <w:lvl w:ilvl="1" w:tplc="0BEEF33A">
      <w:numFmt w:val="decimal"/>
      <w:lvlText w:val=""/>
      <w:lvlJc w:val="left"/>
    </w:lvl>
    <w:lvl w:ilvl="2" w:tplc="A98CCB40">
      <w:numFmt w:val="decimal"/>
      <w:lvlText w:val=""/>
      <w:lvlJc w:val="left"/>
    </w:lvl>
    <w:lvl w:ilvl="3" w:tplc="03F2C386">
      <w:numFmt w:val="decimal"/>
      <w:lvlText w:val=""/>
      <w:lvlJc w:val="left"/>
    </w:lvl>
    <w:lvl w:ilvl="4" w:tplc="86AE59C4">
      <w:numFmt w:val="decimal"/>
      <w:lvlText w:val=""/>
      <w:lvlJc w:val="left"/>
    </w:lvl>
    <w:lvl w:ilvl="5" w:tplc="07B893DC">
      <w:numFmt w:val="decimal"/>
      <w:lvlText w:val=""/>
      <w:lvlJc w:val="left"/>
    </w:lvl>
    <w:lvl w:ilvl="6" w:tplc="D298B93E">
      <w:numFmt w:val="decimal"/>
      <w:lvlText w:val=""/>
      <w:lvlJc w:val="left"/>
    </w:lvl>
    <w:lvl w:ilvl="7" w:tplc="1410FE92">
      <w:numFmt w:val="decimal"/>
      <w:lvlText w:val=""/>
      <w:lvlJc w:val="left"/>
    </w:lvl>
    <w:lvl w:ilvl="8" w:tplc="D740434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24"/>
    <w:rsid w:val="00035D84"/>
    <w:rsid w:val="0043714E"/>
    <w:rsid w:val="00465B4F"/>
    <w:rsid w:val="0048365F"/>
    <w:rsid w:val="004E4A25"/>
    <w:rsid w:val="00533482"/>
    <w:rsid w:val="00A35D64"/>
    <w:rsid w:val="00C03AC4"/>
    <w:rsid w:val="00D9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1A1A1A"/>
        <w:sz w:val="21"/>
        <w:szCs w:val="21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AC4"/>
  </w:style>
  <w:style w:type="paragraph" w:styleId="Footer">
    <w:name w:val="footer"/>
    <w:basedOn w:val="Normal"/>
    <w:link w:val="Foot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AC4"/>
  </w:style>
  <w:style w:type="paragraph" w:styleId="BodyText">
    <w:name w:val="Body Text"/>
    <w:basedOn w:val="Normal"/>
    <w:link w:val="BodyTextChar"/>
    <w:uiPriority w:val="99"/>
    <w:unhideWhenUsed/>
    <w:rsid w:val="00C03AC4"/>
    <w:pPr>
      <w:spacing w:after="12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C03AC4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43714E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1858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 Decision-Making Procedure Template</vt:lpstr>
    </vt:vector>
  </TitlesOfParts>
  <Company/>
  <LinksUpToDate>false</LinksUpToDate>
  <CharactersWithSpaces>12431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 Decision-Making Procedure Template</dc:title>
  <dc:creator>TourX Project</dc:creator>
  <dc:description>TourX Governance Toolbox — CoVE Decision-Making Procedure Template</dc:description>
  <cp:lastModifiedBy>soulachaki</cp:lastModifiedBy>
  <cp:revision>4</cp:revision>
  <dcterms:created xsi:type="dcterms:W3CDTF">2026-09-23T09:13:00Z</dcterms:created>
  <dcterms:modified xsi:type="dcterms:W3CDTF">2026-09-25T09:31:00Z</dcterms:modified>
</cp:coreProperties>
</file>